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5C3BF4" w:rsidRPr="002D18D3" w:rsidTr="00841FCE">
        <w:trPr>
          <w:trHeight w:val="177"/>
        </w:trPr>
        <w:tc>
          <w:tcPr>
            <w:tcW w:w="10639" w:type="dxa"/>
            <w:shd w:val="clear" w:color="auto" w:fill="000000"/>
            <w:vAlign w:val="center"/>
          </w:tcPr>
          <w:p w:rsidR="005C3BF4" w:rsidRPr="005C3BF4" w:rsidRDefault="00E60A9D" w:rsidP="00860549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5C3BF4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TASAS DE PIZARRA – Información al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begin"/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instrText xml:space="preserve"> TIME \@ "d/M/yyyy" </w:instrTex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5B5950">
              <w:rPr>
                <w:rFonts w:ascii="Verdana" w:hAnsi="Verdana" w:cs="Arial"/>
                <w:b/>
                <w:bCs/>
                <w:noProof/>
                <w:color w:val="FFFFFF"/>
                <w:sz w:val="22"/>
                <w:szCs w:val="22"/>
              </w:rPr>
              <w:t>9/12/2025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fldChar w:fldCharType="end"/>
            </w:r>
          </w:p>
        </w:tc>
      </w:tr>
      <w:tr w:rsidR="00427A60" w:rsidRPr="002D18D3" w:rsidTr="00841FCE">
        <w:trPr>
          <w:trHeight w:val="177"/>
        </w:trPr>
        <w:tc>
          <w:tcPr>
            <w:tcW w:w="10639" w:type="dxa"/>
            <w:shd w:val="clear" w:color="auto" w:fill="000000"/>
            <w:vAlign w:val="center"/>
          </w:tcPr>
          <w:p w:rsidR="00427A60" w:rsidRPr="005C3BF4" w:rsidRDefault="00427A60" w:rsidP="00427A60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5C3BF4" w:rsidRPr="00FB4C19" w:rsidRDefault="005C3BF4" w:rsidP="005C3BF4">
      <w:pPr>
        <w:rPr>
          <w:vanish/>
        </w:rPr>
      </w:pPr>
    </w:p>
    <w:p w:rsidR="005C3BF4" w:rsidRDefault="005C3BF4"/>
    <w:tbl>
      <w:tblPr>
        <w:tblW w:w="10639" w:type="dxa"/>
        <w:tblInd w:w="-788" w:type="dxa"/>
        <w:shd w:val="clear" w:color="auto" w:fill="0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986959" w:rsidRPr="003F1D54" w:rsidTr="0058565C">
        <w:trPr>
          <w:trHeight w:val="177"/>
        </w:trPr>
        <w:tc>
          <w:tcPr>
            <w:tcW w:w="10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86959" w:rsidRPr="003F1D54" w:rsidRDefault="00986959" w:rsidP="0058565C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  <w:r w:rsidRPr="003F1D54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TASAS PASIVAS - PRODUCTOS INDIVIDUOS</w:t>
            </w:r>
          </w:p>
        </w:tc>
      </w:tr>
    </w:tbl>
    <w:p w:rsidR="00986959" w:rsidRPr="003F1D54" w:rsidRDefault="00986959" w:rsidP="00986959">
      <w:pPr>
        <w:rPr>
          <w:rFonts w:ascii="Verdana" w:hAnsi="Verdana"/>
          <w:vanish/>
          <w:sz w:val="14"/>
          <w:szCs w:val="14"/>
        </w:rPr>
      </w:pPr>
    </w:p>
    <w:p w:rsidR="00986959" w:rsidRDefault="00986959" w:rsidP="00986959">
      <w:pPr>
        <w:ind w:left="-900" w:firstLine="900"/>
        <w:rPr>
          <w:rFonts w:ascii="Verdana" w:hAnsi="Verdana" w:cs="Arial"/>
          <w:sz w:val="14"/>
          <w:szCs w:val="14"/>
          <w:highlight w:val="darkGray"/>
        </w:rPr>
      </w:pP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275"/>
        <w:gridCol w:w="1276"/>
        <w:gridCol w:w="1275"/>
        <w:gridCol w:w="1276"/>
        <w:gridCol w:w="1275"/>
        <w:gridCol w:w="1276"/>
      </w:tblGrid>
      <w:tr w:rsidR="00F740A3" w:rsidTr="00D665A3">
        <w:trPr>
          <w:trHeight w:val="215"/>
        </w:trPr>
        <w:tc>
          <w:tcPr>
            <w:tcW w:w="8926" w:type="dxa"/>
            <w:gridSpan w:val="7"/>
            <w:shd w:val="clear" w:color="000000" w:fill="E0E0E0"/>
            <w:noWrap/>
            <w:vAlign w:val="center"/>
            <w:hideMark/>
          </w:tcPr>
          <w:p w:rsidR="00F740A3" w:rsidRDefault="00F740A3" w:rsidP="0058565C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Plazo Fijo Pesos - </w:t>
            </w:r>
            <w:r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Tasas de Pizarra Sucursal y Home Banking  </w:t>
            </w:r>
          </w:p>
        </w:tc>
      </w:tr>
      <w:tr w:rsidR="00FF6C1F" w:rsidRPr="00EB3CEB" w:rsidTr="00D665A3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FF6C1F" w:rsidRPr="00EB3CEB" w:rsidRDefault="00FF6C1F" w:rsidP="0058565C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2551" w:type="dxa"/>
            <w:gridSpan w:val="2"/>
            <w:shd w:val="clear" w:color="000000" w:fill="E0E0E0"/>
            <w:noWrap/>
            <w:vAlign w:val="center"/>
            <w:hideMark/>
          </w:tcPr>
          <w:p w:rsidR="00FF6C1F" w:rsidRPr="00EB3CEB" w:rsidRDefault="00FF6C1F" w:rsidP="00F740A3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Tasas de Pizarra  </w:t>
            </w:r>
            <w:r w:rsidR="00F740A3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Generales </w:t>
            </w:r>
            <w:r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(Excluidos de Tasas Normativas)</w:t>
            </w:r>
          </w:p>
        </w:tc>
        <w:tc>
          <w:tcPr>
            <w:tcW w:w="2551" w:type="dxa"/>
            <w:gridSpan w:val="2"/>
            <w:shd w:val="clear" w:color="000000" w:fill="E0E0E0"/>
            <w:vAlign w:val="center"/>
          </w:tcPr>
          <w:p w:rsidR="00FF6C1F" w:rsidRPr="00EB3CEB" w:rsidRDefault="00F740A3" w:rsidP="00365767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Tasas de Pizarra </w:t>
            </w:r>
            <w:r w:rsidR="00EB3CEB"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(T.O. Dep e Inv. </w:t>
            </w:r>
            <w:r w:rsid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a</w:t>
            </w:r>
            <w:r w:rsidR="00EB3CEB"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Plazo punto</w:t>
            </w:r>
            <w:r w:rsidR="00FA7D69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B3CEB"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1.11.1.)  </w:t>
            </w:r>
            <w:r w:rsidR="00FF6C1F" w:rsidRPr="00EB3CE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Per. Hum. </w:t>
            </w:r>
            <w:r w:rsidR="00365767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Importe Indistinto</w:t>
            </w:r>
          </w:p>
        </w:tc>
        <w:tc>
          <w:tcPr>
            <w:tcW w:w="2551" w:type="dxa"/>
            <w:gridSpan w:val="2"/>
            <w:shd w:val="clear" w:color="000000" w:fill="E0E0E0"/>
            <w:vAlign w:val="center"/>
          </w:tcPr>
          <w:p w:rsidR="00FF6C1F" w:rsidRPr="00EB3CEB" w:rsidRDefault="00FF6C1F" w:rsidP="00FA7D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F3CEE" w:rsidTr="00A43748">
        <w:trPr>
          <w:trHeight w:val="215"/>
        </w:trPr>
        <w:tc>
          <w:tcPr>
            <w:tcW w:w="1273" w:type="dxa"/>
            <w:shd w:val="clear" w:color="000000" w:fill="FFFFFF"/>
            <w:vAlign w:val="center"/>
            <w:hideMark/>
          </w:tcPr>
          <w:p w:rsidR="00CF3CEE" w:rsidRPr="00FA7D69" w:rsidRDefault="00CF3CEE" w:rsidP="00712C6E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CF3CEE" w:rsidRDefault="00CF3CE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F3CEE" w:rsidRDefault="00CF3CE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CF3CEE" w:rsidRPr="003F1D54" w:rsidRDefault="00CF3CEE" w:rsidP="00712C6E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TNA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F3CEE" w:rsidRPr="003F1D54" w:rsidRDefault="00CF3CEE" w:rsidP="00712C6E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TEA</w:t>
            </w:r>
          </w:p>
        </w:tc>
        <w:tc>
          <w:tcPr>
            <w:tcW w:w="2551" w:type="dxa"/>
            <w:gridSpan w:val="2"/>
            <w:vMerge w:val="restart"/>
            <w:shd w:val="clear" w:color="auto" w:fill="D9D9D9"/>
            <w:vAlign w:val="center"/>
          </w:tcPr>
          <w:p w:rsidR="00CF3CEE" w:rsidRDefault="00CF3CE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>30 a 59 ds.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18,50%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20,15%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25,00%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28,08%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>60 a 89 ds.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18,75%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20,28%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25,25%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28,07%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>90 a 119 ds.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19,00%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20,40%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25,50%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28,06%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>120 a 149 ds.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19,25%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20,52%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25,75%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28,04%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>150 a 179 ds.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19,50%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20,63%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26,00%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28,02%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000000" w:fill="FFFFFF"/>
            <w:noWrap/>
            <w:vAlign w:val="center"/>
            <w:hideMark/>
          </w:tcPr>
          <w:p w:rsidR="005B5950" w:rsidRPr="004260B9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60B9">
              <w:rPr>
                <w:rFonts w:ascii="Verdana" w:hAnsi="Verdana"/>
                <w:sz w:val="14"/>
                <w:szCs w:val="14"/>
              </w:rPr>
              <w:t xml:space="preserve">180 o más ds. </w:t>
            </w:r>
          </w:p>
        </w:tc>
        <w:tc>
          <w:tcPr>
            <w:tcW w:w="1275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19,75%</w:t>
            </w:r>
          </w:p>
        </w:tc>
        <w:tc>
          <w:tcPr>
            <w:tcW w:w="1276" w:type="dxa"/>
            <w:shd w:val="clear" w:color="000000" w:fill="FFFFFF"/>
            <w:noWrap/>
          </w:tcPr>
          <w:p w:rsidR="005B5950" w:rsidRPr="00165C54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5C54">
              <w:rPr>
                <w:rFonts w:ascii="Verdana" w:hAnsi="Verdana"/>
                <w:sz w:val="14"/>
                <w:szCs w:val="14"/>
              </w:rPr>
              <w:t>20,74%</w:t>
            </w:r>
          </w:p>
        </w:tc>
        <w:tc>
          <w:tcPr>
            <w:tcW w:w="1275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26,25%</w:t>
            </w:r>
          </w:p>
        </w:tc>
        <w:tc>
          <w:tcPr>
            <w:tcW w:w="1276" w:type="dxa"/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28,00%</w:t>
            </w:r>
          </w:p>
        </w:tc>
        <w:tc>
          <w:tcPr>
            <w:tcW w:w="2551" w:type="dxa"/>
            <w:gridSpan w:val="2"/>
            <w:vMerge/>
            <w:shd w:val="clear" w:color="auto" w:fill="D9D9D9"/>
            <w:vAlign w:val="center"/>
          </w:tcPr>
          <w:p w:rsidR="005B5950" w:rsidRPr="00FD05E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12C6E" w:rsidTr="00D665A3">
        <w:trPr>
          <w:trHeight w:val="215"/>
        </w:trPr>
        <w:tc>
          <w:tcPr>
            <w:tcW w:w="8926" w:type="dxa"/>
            <w:gridSpan w:val="7"/>
            <w:shd w:val="clear" w:color="000000" w:fill="E0E0E0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 Fijo Precancelables en Pesos</w:t>
            </w:r>
          </w:p>
        </w:tc>
      </w:tr>
      <w:tr w:rsidR="00712C6E" w:rsidTr="00D665A3">
        <w:trPr>
          <w:trHeight w:val="215"/>
        </w:trPr>
        <w:tc>
          <w:tcPr>
            <w:tcW w:w="1273" w:type="dxa"/>
            <w:vMerge w:val="restart"/>
            <w:shd w:val="clear" w:color="000000" w:fill="FFFFFF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 Días</w:t>
            </w:r>
          </w:p>
        </w:tc>
        <w:tc>
          <w:tcPr>
            <w:tcW w:w="2551" w:type="dxa"/>
            <w:gridSpan w:val="2"/>
            <w:shd w:val="clear" w:color="000000" w:fill="E0E0E0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PF 005 PF TRANS PRECANC PESOS</w:t>
            </w:r>
          </w:p>
        </w:tc>
        <w:tc>
          <w:tcPr>
            <w:tcW w:w="2551" w:type="dxa"/>
            <w:gridSpan w:val="2"/>
            <w:shd w:val="clear" w:color="000000" w:fill="E0E0E0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PF 010 PF INT PRECANC PUBL PESOS (mayor a $ 1 millón)</w:t>
            </w:r>
          </w:p>
        </w:tc>
        <w:tc>
          <w:tcPr>
            <w:tcW w:w="2551" w:type="dxa"/>
            <w:gridSpan w:val="2"/>
            <w:shd w:val="clear" w:color="000000" w:fill="E0E0E0"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426BC5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PF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039 </w:t>
            </w:r>
            <w:r w:rsidRPr="00426BC5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INSTRANSFERIBLE PRECANCELABLE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</w:t>
            </w:r>
            <w:r w:rsidRPr="00426BC5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Clientes Mayoristas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712C6E" w:rsidTr="00D665A3">
        <w:trPr>
          <w:trHeight w:val="215"/>
        </w:trPr>
        <w:tc>
          <w:tcPr>
            <w:tcW w:w="1273" w:type="dxa"/>
            <w:vMerge/>
            <w:shd w:val="clear" w:color="000000" w:fill="FFFFFF"/>
            <w:vAlign w:val="center"/>
            <w:hideMark/>
          </w:tcPr>
          <w:p w:rsidR="00712C6E" w:rsidRDefault="00712C6E" w:rsidP="00712C6E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12C6E" w:rsidRDefault="00712C6E" w:rsidP="00712C6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5B5950" w:rsidRPr="0026598D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6598D">
              <w:rPr>
                <w:rFonts w:ascii="Verdana" w:hAnsi="Verdan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18,50%</w:t>
            </w:r>
          </w:p>
        </w:tc>
        <w:tc>
          <w:tcPr>
            <w:tcW w:w="1276" w:type="dxa"/>
            <w:shd w:val="clear" w:color="auto" w:fill="auto"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20,15%</w:t>
            </w:r>
          </w:p>
        </w:tc>
        <w:tc>
          <w:tcPr>
            <w:tcW w:w="1275" w:type="dxa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B5950" w:rsidTr="00B63CFA">
        <w:trPr>
          <w:trHeight w:val="215"/>
        </w:trPr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5B5950" w:rsidRPr="0026598D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6598D">
              <w:rPr>
                <w:rFonts w:ascii="Verdana" w:hAnsi="Verdana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275" w:type="dxa"/>
            <w:shd w:val="clear" w:color="auto" w:fill="auto"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14,50%</w:t>
            </w:r>
          </w:p>
        </w:tc>
        <w:tc>
          <w:tcPr>
            <w:tcW w:w="1276" w:type="dxa"/>
            <w:shd w:val="clear" w:color="auto" w:fill="auto"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15,03%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14,50%</w:t>
            </w:r>
          </w:p>
        </w:tc>
        <w:tc>
          <w:tcPr>
            <w:tcW w:w="1276" w:type="dxa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15,03%</w:t>
            </w:r>
          </w:p>
        </w:tc>
      </w:tr>
    </w:tbl>
    <w:p w:rsidR="00986959" w:rsidRDefault="00986959" w:rsidP="00986959">
      <w:pPr>
        <w:ind w:left="-900" w:firstLine="900"/>
        <w:rPr>
          <w:rFonts w:ascii="Verdana" w:hAnsi="Verdana" w:cs="Arial"/>
          <w:sz w:val="14"/>
          <w:szCs w:val="14"/>
          <w:highlight w:val="darkGray"/>
        </w:rPr>
      </w:pPr>
    </w:p>
    <w:tbl>
      <w:tblPr>
        <w:tblW w:w="8921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306"/>
        <w:gridCol w:w="970"/>
        <w:gridCol w:w="709"/>
        <w:gridCol w:w="14"/>
        <w:gridCol w:w="694"/>
        <w:gridCol w:w="993"/>
        <w:gridCol w:w="7"/>
        <w:gridCol w:w="347"/>
        <w:gridCol w:w="1347"/>
      </w:tblGrid>
      <w:tr w:rsidR="000D5D3E" w:rsidTr="00D665A3">
        <w:trPr>
          <w:trHeight w:val="215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D5D3E" w:rsidRDefault="000D5D3E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 Fijo en Dólares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D3E" w:rsidRDefault="000D5D3E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noWrap/>
            <w:vAlign w:val="center"/>
          </w:tcPr>
          <w:p w:rsidR="000D5D3E" w:rsidRDefault="000D5D3E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 Fijo Precancelables UVA Com A 6871-7585(UVA + TNA)</w:t>
            </w:r>
          </w:p>
        </w:tc>
      </w:tr>
      <w:tr w:rsidR="00031DC1" w:rsidTr="00FA0C95">
        <w:trPr>
          <w:trHeight w:val="35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Plazo Días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DC1" w:rsidRDefault="00031DC1" w:rsidP="000D5D3E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 Precancelable Pesos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69" w:rsidRPr="004662C3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30 a 59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2,50%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2,529%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69" w:rsidRPr="005974D7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5974D7">
              <w:rPr>
                <w:rFonts w:ascii="Verdana" w:hAnsi="Verdana"/>
                <w:color w:val="000000"/>
                <w:sz w:val="14"/>
                <w:szCs w:val="14"/>
              </w:rPr>
              <w:t>1,000%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69" w:rsidRPr="005974D7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5974D7">
              <w:rPr>
                <w:rFonts w:ascii="Verdana" w:hAnsi="Verdana"/>
                <w:color w:val="000000"/>
                <w:sz w:val="14"/>
                <w:szCs w:val="14"/>
              </w:rPr>
              <w:t>1,004%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69" w:rsidRPr="00DF4BBB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000000"/>
                <w:sz w:val="14"/>
                <w:szCs w:val="14"/>
              </w:rPr>
              <w:t xml:space="preserve">Plazo </w:t>
            </w:r>
            <w:r w:rsidRPr="00DF4BBB">
              <w:rPr>
                <w:rFonts w:ascii="Verdana" w:hAnsi="Verdana"/>
                <w:bCs/>
                <w:color w:val="000000"/>
                <w:sz w:val="14"/>
                <w:szCs w:val="14"/>
              </w:rPr>
              <w:t>180+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69" w:rsidRPr="00DF4BBB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8,00</w:t>
            </w:r>
            <w:r w:rsidRPr="009D3029">
              <w:rPr>
                <w:rFonts w:ascii="Verdana" w:hAnsi="Verdana"/>
                <w:color w:val="000000"/>
                <w:sz w:val="14"/>
                <w:szCs w:val="14"/>
              </w:rPr>
              <w:t>%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60 a 89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2,70%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2,731%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 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90 a 119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2,90%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2,932%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5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Caja de Ahorro en Pesos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120 a 149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3,10%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3,132%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TEM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150 a 179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3,30%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3,332%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180 a 269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3,50%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3,531%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5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Caja de Ahorro en Dólares</w:t>
            </w:r>
          </w:p>
        </w:tc>
      </w:tr>
      <w:tr w:rsidR="008B4569" w:rsidTr="00D665A3">
        <w:trPr>
          <w:trHeight w:val="22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270 a 364 ds.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3,70%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3,718%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</w:tr>
      <w:tr w:rsidR="008B4569" w:rsidTr="00D665A3">
        <w:trPr>
          <w:trHeight w:val="2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365 o más ds.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3,90%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569" w:rsidRPr="008B4569" w:rsidRDefault="008B4569" w:rsidP="008B45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4569">
              <w:rPr>
                <w:rFonts w:ascii="Verdana" w:hAnsi="Verdana"/>
                <w:sz w:val="14"/>
                <w:szCs w:val="14"/>
              </w:rPr>
              <w:t>3,900%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569" w:rsidRDefault="008B4569" w:rsidP="008B456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</w:tr>
    </w:tbl>
    <w:p w:rsidR="00986959" w:rsidRDefault="00986959" w:rsidP="00986959">
      <w:pPr>
        <w:ind w:left="-900" w:firstLine="900"/>
        <w:rPr>
          <w:rFonts w:ascii="Verdana" w:hAnsi="Verdana" w:cs="Arial"/>
          <w:sz w:val="14"/>
          <w:szCs w:val="14"/>
          <w:highlight w:val="darkGray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10326"/>
      </w:tblGrid>
      <w:tr w:rsidR="004D1871" w:rsidRPr="003F1D54" w:rsidTr="004D1871">
        <w:trPr>
          <w:trHeight w:val="172"/>
        </w:trPr>
        <w:tc>
          <w:tcPr>
            <w:tcW w:w="306" w:type="dxa"/>
            <w:shd w:val="clear" w:color="auto" w:fill="000000"/>
          </w:tcPr>
          <w:p w:rsidR="004D1871" w:rsidRPr="003F1D54" w:rsidRDefault="004D1871" w:rsidP="0058565C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326" w:type="dxa"/>
            <w:shd w:val="clear" w:color="auto" w:fill="000000"/>
            <w:vAlign w:val="center"/>
          </w:tcPr>
          <w:p w:rsidR="004D1871" w:rsidRPr="003F1D54" w:rsidRDefault="004D1871" w:rsidP="0058565C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</w:pPr>
            <w:r w:rsidRPr="003F1D54">
              <w:rPr>
                <w:rFonts w:ascii="Verdana" w:hAnsi="Verdana" w:cs="Arial"/>
                <w:b/>
                <w:bCs/>
                <w:color w:val="FFFFFF"/>
                <w:sz w:val="22"/>
                <w:szCs w:val="22"/>
              </w:rPr>
              <w:t>TASAS PASIVAS – OPERACIONES DE ORIGEN JUDICIAL</w:t>
            </w:r>
          </w:p>
        </w:tc>
      </w:tr>
    </w:tbl>
    <w:p w:rsidR="004D1871" w:rsidRDefault="004D1871" w:rsidP="007D7873">
      <w:pPr>
        <w:ind w:left="-900" w:firstLine="900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194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299"/>
        <w:gridCol w:w="1173"/>
        <w:gridCol w:w="1173"/>
        <w:gridCol w:w="1174"/>
        <w:gridCol w:w="161"/>
        <w:gridCol w:w="635"/>
        <w:gridCol w:w="338"/>
        <w:gridCol w:w="297"/>
        <w:gridCol w:w="635"/>
        <w:gridCol w:w="202"/>
        <w:gridCol w:w="433"/>
        <w:gridCol w:w="635"/>
        <w:gridCol w:w="635"/>
        <w:gridCol w:w="636"/>
      </w:tblGrid>
      <w:tr w:rsidR="00C41FB5" w:rsidTr="00983E2E">
        <w:trPr>
          <w:gridAfter w:val="9"/>
          <w:wAfter w:w="4446" w:type="dxa"/>
          <w:trHeight w:val="215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Plazo Fijo Pesos – Origen Judicial</w:t>
            </w:r>
          </w:p>
        </w:tc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B5" w:rsidRPr="003F1D54" w:rsidRDefault="00C41FB5" w:rsidP="005A5DB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41FB5" w:rsidRPr="004D1871" w:rsidRDefault="00C41FB5" w:rsidP="005A5DB1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Plazo Fijo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Dólar</w:t>
            </w: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Origen Judicial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41FB5" w:rsidTr="00983E2E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FB5" w:rsidRPr="00C41FB5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2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Plazo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TEA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Plazo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TNA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TEA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950" w:rsidRPr="004662C3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4662C3">
              <w:rPr>
                <w:rFonts w:ascii="Verdana" w:hAnsi="Verdana" w:cs="Arial"/>
                <w:sz w:val="14"/>
                <w:szCs w:val="14"/>
                <w:lang w:val="en-GB"/>
              </w:rPr>
              <w:t>30 a 59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22,00%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24,36%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4662C3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4662C3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4662C3">
              <w:rPr>
                <w:rFonts w:ascii="Verdana" w:hAnsi="Verdana" w:cs="Arial"/>
                <w:sz w:val="14"/>
                <w:szCs w:val="14"/>
                <w:lang w:val="en-GB"/>
              </w:rPr>
              <w:t>30 a 59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2,50%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2,53%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  <w:lang w:val="en-GB"/>
              </w:rPr>
              <w:t>60 a 89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22,25%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24,42%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  <w:lang w:val="en-GB"/>
              </w:rPr>
              <w:t>60 a 89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2,70%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2,73%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3F1D54">
              <w:rPr>
                <w:rFonts w:ascii="Verdana" w:hAnsi="Verdana" w:cs="Arial"/>
                <w:sz w:val="14"/>
                <w:szCs w:val="14"/>
                <w:lang w:val="en-GB"/>
              </w:rPr>
              <w:t>90 a 119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22,50%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24,48%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3F1D54">
              <w:rPr>
                <w:rFonts w:ascii="Verdana" w:hAnsi="Verdana" w:cs="Arial"/>
                <w:sz w:val="14"/>
                <w:szCs w:val="14"/>
                <w:lang w:val="en-GB"/>
              </w:rPr>
              <w:t>90 a 119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2,90%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2,93%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3F1D54">
              <w:rPr>
                <w:rFonts w:ascii="Verdana" w:hAnsi="Verdana" w:cs="Arial"/>
                <w:sz w:val="14"/>
                <w:szCs w:val="14"/>
                <w:lang w:val="en-GB"/>
              </w:rPr>
              <w:t>120 a 149 ds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22,75%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24,53%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120 a 149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3,10%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3,13%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gridAfter w:val="9"/>
          <w:wAfter w:w="4446" w:type="dxa"/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150 a 179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23,00%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24,58%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150 a 179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3,30%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3,33%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5B5950" w:rsidTr="00B63CFA">
        <w:trPr>
          <w:trHeight w:val="21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180 o más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  <w:r w:rsidRPr="003F1D54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23,25%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5950" w:rsidRPr="005B5950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5950">
              <w:rPr>
                <w:rFonts w:ascii="Verdana" w:hAnsi="Verdana"/>
                <w:sz w:val="14"/>
                <w:szCs w:val="14"/>
              </w:rPr>
              <w:t>24,62%</w:t>
            </w:r>
          </w:p>
        </w:tc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50" w:rsidRPr="003F1D54" w:rsidRDefault="005B5950" w:rsidP="005B5950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180 a 269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3,50%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0" w:rsidRPr="00872618" w:rsidRDefault="005B5950" w:rsidP="005B59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3,53%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950" w:rsidRDefault="005B5950" w:rsidP="005B5950">
            <w:pPr>
              <w:rPr>
                <w:sz w:val="20"/>
                <w:szCs w:val="20"/>
              </w:rPr>
            </w:pPr>
          </w:p>
        </w:tc>
      </w:tr>
      <w:tr w:rsidR="00872618" w:rsidTr="00983E2E">
        <w:trPr>
          <w:gridAfter w:val="4"/>
          <w:wAfter w:w="2339" w:type="dxa"/>
          <w:trHeight w:val="215"/>
        </w:trPr>
        <w:tc>
          <w:tcPr>
            <w:tcW w:w="117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2618" w:rsidRDefault="00872618" w:rsidP="00872618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618" w:rsidRDefault="00872618" w:rsidP="00872618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618" w:rsidRDefault="00872618" w:rsidP="00872618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  <w:lang w:eastAsia="es-AR"/>
              </w:rPr>
            </w:pPr>
          </w:p>
        </w:tc>
        <w:tc>
          <w:tcPr>
            <w:tcW w:w="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270 a 364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18" w:rsidRPr="00872618" w:rsidRDefault="00872618" w:rsidP="00872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3,70%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18" w:rsidRPr="00872618" w:rsidRDefault="00872618" w:rsidP="00872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3,72%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872618" w:rsidRPr="002F10E5" w:rsidRDefault="00872618" w:rsidP="0087261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2618" w:rsidRPr="002F10E5" w:rsidRDefault="00872618" w:rsidP="0087261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872618" w:rsidRPr="003F1D54" w:rsidTr="00983E2E">
        <w:trPr>
          <w:gridAfter w:val="10"/>
          <w:wAfter w:w="4607" w:type="dxa"/>
          <w:trHeight w:val="215"/>
        </w:trPr>
        <w:tc>
          <w:tcPr>
            <w:tcW w:w="1173" w:type="dxa"/>
            <w:vMerge/>
            <w:shd w:val="clear" w:color="auto" w:fill="auto"/>
            <w:noWrap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18" w:rsidRPr="003F1D54" w:rsidRDefault="00872618" w:rsidP="00872618">
            <w:pPr>
              <w:ind w:left="-900" w:firstLine="90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3F1D54">
              <w:rPr>
                <w:rFonts w:ascii="Verdana" w:hAnsi="Verdana" w:cs="Arial"/>
                <w:sz w:val="14"/>
                <w:szCs w:val="14"/>
              </w:rPr>
              <w:t>365 o más ds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  <w:r w:rsidRPr="003F1D54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618" w:rsidRPr="00872618" w:rsidRDefault="00872618" w:rsidP="00872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3,90%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618" w:rsidRPr="00872618" w:rsidRDefault="00872618" w:rsidP="008726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2618">
              <w:rPr>
                <w:rFonts w:ascii="Verdana" w:hAnsi="Verdana"/>
                <w:sz w:val="14"/>
                <w:szCs w:val="14"/>
              </w:rPr>
              <w:t>3,90%</w:t>
            </w:r>
          </w:p>
        </w:tc>
      </w:tr>
    </w:tbl>
    <w:p w:rsidR="004D1871" w:rsidRDefault="004D1871" w:rsidP="007D7873">
      <w:pPr>
        <w:ind w:left="-900" w:firstLine="900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49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</w:tblGrid>
      <w:tr w:rsidR="00C41FB5" w:rsidRPr="003F1D54" w:rsidTr="00D665A3">
        <w:trPr>
          <w:trHeight w:val="215"/>
        </w:trPr>
        <w:tc>
          <w:tcPr>
            <w:tcW w:w="4962" w:type="dxa"/>
            <w:gridSpan w:val="3"/>
            <w:shd w:val="clear" w:color="000000" w:fill="E0E0E0"/>
            <w:noWrap/>
            <w:vAlign w:val="center"/>
            <w:hideMark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Cuentas a la Vista para Uso Judicial Pesos</w:t>
            </w:r>
          </w:p>
        </w:tc>
      </w:tr>
      <w:tr w:rsidR="00C41FB5" w:rsidTr="00D665A3">
        <w:trPr>
          <w:trHeight w:val="215"/>
        </w:trPr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</w:tr>
      <w:tr w:rsidR="00C41FB5" w:rsidTr="00D665A3">
        <w:trPr>
          <w:trHeight w:val="215"/>
        </w:trPr>
        <w:tc>
          <w:tcPr>
            <w:tcW w:w="1701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</w:tr>
      <w:tr w:rsidR="00C41FB5" w:rsidRPr="003F1D54" w:rsidTr="00D665A3">
        <w:trPr>
          <w:trHeight w:val="215"/>
        </w:trPr>
        <w:tc>
          <w:tcPr>
            <w:tcW w:w="4962" w:type="dxa"/>
            <w:gridSpan w:val="3"/>
            <w:shd w:val="clear" w:color="000000" w:fill="D9D9D9"/>
            <w:noWrap/>
            <w:vAlign w:val="center"/>
            <w:hideMark/>
          </w:tcPr>
          <w:p w:rsidR="00C41FB5" w:rsidRPr="003F1D54" w:rsidRDefault="00C41FB5" w:rsidP="005A5DB1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F1D54">
              <w:rPr>
                <w:rFonts w:ascii="Verdana" w:hAnsi="Verdana" w:cs="Arial"/>
                <w:b/>
                <w:bCs/>
                <w:sz w:val="14"/>
                <w:szCs w:val="14"/>
              </w:rPr>
              <w:t>Cuentas a la Vista para Uso Judicial Dólar</w:t>
            </w:r>
          </w:p>
        </w:tc>
      </w:tr>
      <w:tr w:rsidR="00C41FB5" w:rsidTr="00D665A3">
        <w:trPr>
          <w:trHeight w:val="215"/>
        </w:trPr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TNA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41FB5" w:rsidRDefault="00C41FB5" w:rsidP="005A5DB1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TEA</w:t>
            </w:r>
          </w:p>
        </w:tc>
      </w:tr>
      <w:tr w:rsidR="00C41FB5" w:rsidTr="00D665A3">
        <w:trPr>
          <w:trHeight w:val="215"/>
        </w:trPr>
        <w:tc>
          <w:tcPr>
            <w:tcW w:w="1701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C41FB5" w:rsidRDefault="00C41FB5" w:rsidP="005A5D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0,10%</w:t>
            </w:r>
          </w:p>
        </w:tc>
      </w:tr>
    </w:tbl>
    <w:p w:rsidR="00FB0630" w:rsidRDefault="00FB0630" w:rsidP="007D7873">
      <w:pPr>
        <w:ind w:left="-900" w:firstLine="900"/>
        <w:rPr>
          <w:rFonts w:ascii="Verdana" w:hAnsi="Verdana" w:cs="Arial"/>
          <w:sz w:val="18"/>
          <w:szCs w:val="18"/>
          <w:highlight w:val="darkGray"/>
        </w:rPr>
      </w:pPr>
    </w:p>
    <w:p w:rsidR="00AB2D6E" w:rsidRDefault="00AB2D6E" w:rsidP="007D7873">
      <w:pPr>
        <w:ind w:left="-900" w:firstLine="900"/>
        <w:rPr>
          <w:rFonts w:ascii="Verdana" w:hAnsi="Verdana" w:cs="Arial"/>
          <w:sz w:val="18"/>
          <w:szCs w:val="18"/>
          <w:highlight w:val="darkGray"/>
        </w:rPr>
      </w:pPr>
      <w:r>
        <w:rPr>
          <w:rFonts w:ascii="Verdana" w:hAnsi="Verdana" w:cs="Arial"/>
          <w:sz w:val="18"/>
          <w:szCs w:val="18"/>
          <w:highlight w:val="darkGray"/>
        </w:rPr>
        <w:br w:type="page"/>
      </w:r>
    </w:p>
    <w:tbl>
      <w:tblPr>
        <w:tblW w:w="10639" w:type="dxa"/>
        <w:tblInd w:w="-7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A87E07" w:rsidRPr="00552980" w:rsidTr="007E2911">
        <w:trPr>
          <w:trHeight w:val="172"/>
        </w:trPr>
        <w:tc>
          <w:tcPr>
            <w:tcW w:w="10639" w:type="dxa"/>
            <w:shd w:val="clear" w:color="auto" w:fill="000000"/>
            <w:vAlign w:val="center"/>
          </w:tcPr>
          <w:p w:rsidR="00A87E07" w:rsidRPr="000D5D3E" w:rsidRDefault="00A87E07" w:rsidP="00A87E07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0D5D3E"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  <w:lastRenderedPageBreak/>
              <w:t>TASAS ACTIVAS – TARJETAS DE CREDITO EMPRESAS</w:t>
            </w:r>
          </w:p>
        </w:tc>
      </w:tr>
    </w:tbl>
    <w:p w:rsidR="00EF65DF" w:rsidRDefault="00EF65DF" w:rsidP="00EF65DF"/>
    <w:tbl>
      <w:tblPr>
        <w:tblW w:w="1042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202"/>
        <w:gridCol w:w="1202"/>
        <w:gridCol w:w="1202"/>
        <w:gridCol w:w="1203"/>
        <w:gridCol w:w="1202"/>
        <w:gridCol w:w="1202"/>
        <w:gridCol w:w="1203"/>
      </w:tblGrid>
      <w:tr w:rsidR="00F101A2" w:rsidRPr="00B64BFE" w:rsidTr="00473A26">
        <w:trPr>
          <w:trHeight w:val="91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Tarjetas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TNA Intereses de Financiación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E12855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TNA de Interés anterior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 xml:space="preserve">TEA (5)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TNA Intereses Punitorios (1)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Seguros de Vida (4)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CFT (2)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01A2" w:rsidRPr="00B64BFE" w:rsidRDefault="00F101A2" w:rsidP="003F362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B64BFE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CFT (3)</w:t>
            </w:r>
          </w:p>
        </w:tc>
      </w:tr>
      <w:tr w:rsidR="008711E9" w:rsidRPr="00B64BFE" w:rsidTr="00473A26">
        <w:trPr>
          <w:trHeight w:val="156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B64BFE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B64BFE">
              <w:rPr>
                <w:rFonts w:ascii="Verdana" w:hAnsi="Verdana"/>
                <w:b/>
                <w:bCs/>
                <w:sz w:val="16"/>
                <w:szCs w:val="14"/>
                <w:lang w:val="es-ES"/>
              </w:rPr>
              <w:t>BANCOR AGRO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68,00%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65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00%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79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75%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34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79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75%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</w:tr>
      <w:tr w:rsidR="008711E9" w:rsidRPr="00B64BFE" w:rsidTr="00473A26">
        <w:trPr>
          <w:trHeight w:val="203"/>
        </w:trPr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B64BFE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sz w:val="18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0,30%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100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36%</w:t>
            </w:r>
          </w:p>
        </w:tc>
      </w:tr>
      <w:tr w:rsidR="008711E9" w:rsidRPr="00B64BFE" w:rsidTr="00473A26">
        <w:trPr>
          <w:trHeight w:val="120"/>
        </w:trPr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B64BFE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sz w:val="18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0,48%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100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88%</w:t>
            </w:r>
          </w:p>
        </w:tc>
      </w:tr>
      <w:tr w:rsidR="008711E9" w:rsidRPr="00B64BFE" w:rsidTr="00473A26">
        <w:trPr>
          <w:trHeight w:val="181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B64BFE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B64BFE">
              <w:rPr>
                <w:rFonts w:ascii="Verdana" w:hAnsi="Verdana"/>
                <w:b/>
                <w:bCs/>
                <w:sz w:val="16"/>
                <w:szCs w:val="14"/>
                <w:lang w:val="es-ES"/>
              </w:rPr>
              <w:t>BANCOR BUSSINES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68,00%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65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00%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93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80%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34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93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80%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</w:tr>
      <w:tr w:rsidR="008711E9" w:rsidRPr="00B64BFE" w:rsidTr="00473A26">
        <w:trPr>
          <w:trHeight w:val="227"/>
        </w:trPr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B64BFE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0,30%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129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40%</w:t>
            </w:r>
          </w:p>
        </w:tc>
      </w:tr>
      <w:tr w:rsidR="008711E9" w:rsidRPr="00B64BFE" w:rsidTr="00473A26">
        <w:trPr>
          <w:trHeight w:val="144"/>
        </w:trPr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B64BFE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E9" w:rsidRPr="00473A26" w:rsidRDefault="008711E9" w:rsidP="008711E9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0,48%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---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11E9" w:rsidRPr="00473A26" w:rsidRDefault="008711E9" w:rsidP="008711E9">
            <w:pPr>
              <w:jc w:val="center"/>
              <w:rPr>
                <w:rFonts w:ascii="Verdana" w:hAnsi="Verdana"/>
                <w:b/>
                <w:sz w:val="18"/>
                <w:szCs w:val="18"/>
                <w:lang w:eastAsia="es-AR"/>
              </w:rPr>
            </w:pP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134</w:t>
            </w:r>
            <w:r w:rsid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,</w:t>
            </w:r>
            <w:r w:rsidRPr="00473A26">
              <w:rPr>
                <w:rFonts w:ascii="Verdana" w:hAnsi="Verdana" w:cs="Arial"/>
                <w:b/>
                <w:bCs/>
                <w:sz w:val="18"/>
                <w:szCs w:val="14"/>
                <w:lang w:eastAsia="es-AR"/>
              </w:rPr>
              <w:t>14%</w:t>
            </w:r>
          </w:p>
        </w:tc>
      </w:tr>
    </w:tbl>
    <w:p w:rsidR="00EF65DF" w:rsidRDefault="00EF65DF" w:rsidP="00EF65DF">
      <w:pPr>
        <w:rPr>
          <w:rFonts w:ascii="Verdana" w:hAnsi="Verdana" w:cs="Arial"/>
          <w:b/>
          <w:bCs/>
          <w:color w:val="FFFFFF"/>
          <w:sz w:val="22"/>
          <w:szCs w:val="22"/>
        </w:rPr>
      </w:pPr>
    </w:p>
    <w:p w:rsidR="00EF65DF" w:rsidRPr="003638F0" w:rsidRDefault="00EF65DF" w:rsidP="00EF65DF">
      <w:pPr>
        <w:ind w:left="-709"/>
        <w:rPr>
          <w:rFonts w:ascii="Verdana" w:hAnsi="Verdana" w:cs="Arial"/>
          <w:sz w:val="12"/>
          <w:szCs w:val="14"/>
        </w:rPr>
      </w:pPr>
      <w:r w:rsidRPr="003638F0">
        <w:rPr>
          <w:rFonts w:ascii="Verdana" w:hAnsi="Verdana" w:cs="Arial"/>
          <w:sz w:val="12"/>
          <w:szCs w:val="14"/>
        </w:rPr>
        <w:t>(1) La TNA Intereses Punitorios sobre el saldo impago se calcula a partir de la fecha de exigencia,</w:t>
      </w:r>
    </w:p>
    <w:p w:rsidR="00EF65DF" w:rsidRPr="003638F0" w:rsidRDefault="00EF65DF" w:rsidP="00EF65DF">
      <w:pPr>
        <w:ind w:left="-709"/>
        <w:rPr>
          <w:rFonts w:ascii="Verdana" w:hAnsi="Verdana" w:cs="Arial"/>
          <w:sz w:val="12"/>
          <w:szCs w:val="14"/>
        </w:rPr>
      </w:pPr>
      <w:r w:rsidRPr="003638F0">
        <w:rPr>
          <w:rFonts w:ascii="Verdana" w:hAnsi="Verdana" w:cs="Arial"/>
          <w:sz w:val="12"/>
          <w:szCs w:val="14"/>
        </w:rPr>
        <w:t>(2) CFT es expresado en Tasa Efectiva Anual del punto (5) calculado para Person</w:t>
      </w:r>
      <w:r w:rsidR="00E027DE">
        <w:rPr>
          <w:rFonts w:ascii="Verdana" w:hAnsi="Verdana" w:cs="Arial"/>
          <w:sz w:val="12"/>
          <w:szCs w:val="14"/>
        </w:rPr>
        <w:t>a Jurídica por un monto de $100.</w:t>
      </w:r>
      <w:r w:rsidRPr="003638F0">
        <w:rPr>
          <w:rFonts w:ascii="Verdana" w:hAnsi="Verdana" w:cs="Arial"/>
          <w:sz w:val="12"/>
          <w:szCs w:val="14"/>
        </w:rPr>
        <w:t>000 sin seguro de vida</w:t>
      </w:r>
    </w:p>
    <w:p w:rsidR="00EF65DF" w:rsidRPr="003638F0" w:rsidRDefault="00EF65DF" w:rsidP="00EF65DF">
      <w:pPr>
        <w:ind w:left="-709"/>
        <w:rPr>
          <w:rFonts w:ascii="Verdana" w:hAnsi="Verdana" w:cs="Arial"/>
          <w:sz w:val="12"/>
          <w:szCs w:val="14"/>
        </w:rPr>
      </w:pPr>
      <w:r w:rsidRPr="003638F0">
        <w:rPr>
          <w:rFonts w:ascii="Verdana" w:hAnsi="Verdana" w:cs="Arial"/>
          <w:sz w:val="12"/>
          <w:szCs w:val="14"/>
        </w:rPr>
        <w:t>(3) CFT es expresado en Tasa Efectiva Anual calculado para Persona Fisica por un monto de $100</w:t>
      </w:r>
      <w:r w:rsidR="00E027DE">
        <w:rPr>
          <w:rFonts w:ascii="Verdana" w:hAnsi="Verdana" w:cs="Arial"/>
          <w:sz w:val="12"/>
          <w:szCs w:val="14"/>
        </w:rPr>
        <w:t>.</w:t>
      </w:r>
      <w:r w:rsidRPr="003638F0">
        <w:rPr>
          <w:rFonts w:ascii="Verdana" w:hAnsi="Verdana" w:cs="Arial"/>
          <w:sz w:val="12"/>
          <w:szCs w:val="14"/>
        </w:rPr>
        <w:t>000 con seguro de vida</w:t>
      </w:r>
    </w:p>
    <w:p w:rsidR="00EF65DF" w:rsidRPr="003638F0" w:rsidRDefault="00EF65DF" w:rsidP="00EF65DF">
      <w:pPr>
        <w:ind w:left="-709"/>
        <w:rPr>
          <w:rFonts w:ascii="Verdana" w:hAnsi="Verdana" w:cs="Arial"/>
          <w:sz w:val="12"/>
          <w:szCs w:val="14"/>
        </w:rPr>
      </w:pPr>
      <w:r w:rsidRPr="003638F0">
        <w:rPr>
          <w:rFonts w:ascii="Verdana" w:hAnsi="Verdana" w:cs="Arial"/>
          <w:sz w:val="12"/>
          <w:szCs w:val="14"/>
        </w:rPr>
        <w:t xml:space="preserve">(4) Seguro de Vida aplicable a personas físicas por </w:t>
      </w:r>
      <w:r w:rsidR="00816401" w:rsidRPr="00816401">
        <w:rPr>
          <w:rFonts w:ascii="Verdana" w:hAnsi="Verdana" w:cs="Arial"/>
          <w:sz w:val="12"/>
          <w:szCs w:val="14"/>
        </w:rPr>
        <w:t xml:space="preserve">0,30%/0,48% </w:t>
      </w:r>
      <w:r w:rsidRPr="003638F0">
        <w:rPr>
          <w:rFonts w:ascii="Verdana" w:hAnsi="Verdana" w:cs="Arial"/>
          <w:sz w:val="12"/>
          <w:szCs w:val="14"/>
        </w:rPr>
        <w:t>sobre saldo</w:t>
      </w:r>
    </w:p>
    <w:p w:rsidR="00A10D50" w:rsidRDefault="00EF65DF" w:rsidP="00F101A2">
      <w:pPr>
        <w:ind w:left="-709"/>
        <w:rPr>
          <w:rFonts w:ascii="Verdana" w:hAnsi="Verdana" w:cs="Arial"/>
          <w:sz w:val="12"/>
          <w:szCs w:val="14"/>
        </w:rPr>
      </w:pPr>
      <w:r w:rsidRPr="003638F0">
        <w:rPr>
          <w:rFonts w:ascii="Verdana" w:hAnsi="Verdana" w:cs="Arial"/>
          <w:sz w:val="12"/>
          <w:szCs w:val="14"/>
        </w:rPr>
        <w:t>(5) TEA calculada para TNA con plazo a 180 días para</w:t>
      </w:r>
      <w:r w:rsidR="00F101A2">
        <w:rPr>
          <w:rFonts w:ascii="Verdana" w:hAnsi="Verdana" w:cs="Arial"/>
          <w:sz w:val="12"/>
          <w:szCs w:val="14"/>
        </w:rPr>
        <w:t xml:space="preserve"> Agro y a 30 días para Bussines</w:t>
      </w:r>
    </w:p>
    <w:p w:rsidR="00837D4F" w:rsidRDefault="00837D4F" w:rsidP="00F101A2">
      <w:pPr>
        <w:ind w:left="-709"/>
        <w:rPr>
          <w:rFonts w:ascii="Verdana" w:hAnsi="Verdana" w:cs="Arial"/>
          <w:sz w:val="12"/>
          <w:szCs w:val="14"/>
        </w:rPr>
      </w:pPr>
    </w:p>
    <w:p w:rsidR="00837D4F" w:rsidRDefault="00837D4F" w:rsidP="00F101A2">
      <w:pPr>
        <w:ind w:left="-709"/>
        <w:rPr>
          <w:rFonts w:ascii="Verdana" w:hAnsi="Verdana" w:cs="Arial"/>
          <w:sz w:val="12"/>
          <w:szCs w:val="14"/>
        </w:rPr>
      </w:pPr>
    </w:p>
    <w:p w:rsidR="00A10D50" w:rsidRDefault="00A10D50" w:rsidP="00EF65DF">
      <w:pPr>
        <w:ind w:left="-709"/>
        <w:rPr>
          <w:rFonts w:ascii="Verdana" w:hAnsi="Verdana" w:cs="Arial"/>
          <w:sz w:val="12"/>
          <w:szCs w:val="14"/>
        </w:rPr>
      </w:pPr>
    </w:p>
    <w:p w:rsidR="000244D7" w:rsidRDefault="007A3A5F" w:rsidP="000244D7">
      <w:pPr>
        <w:ind w:left="-900" w:firstLine="900"/>
        <w:rPr>
          <w:rFonts w:ascii="Verdana" w:hAnsi="Verdana" w:cs="Arial"/>
          <w:sz w:val="18"/>
          <w:szCs w:val="18"/>
          <w:highlight w:val="darkGray"/>
        </w:rPr>
      </w:pPr>
      <w:r>
        <w:rPr>
          <w:rFonts w:ascii="Verdana" w:hAnsi="Verdana" w:cs="Arial"/>
          <w:sz w:val="12"/>
          <w:szCs w:val="14"/>
        </w:rPr>
        <w:br w:type="page"/>
      </w:r>
    </w:p>
    <w:tbl>
      <w:tblPr>
        <w:tblW w:w="10774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42"/>
        <w:gridCol w:w="465"/>
        <w:gridCol w:w="385"/>
        <w:gridCol w:w="40"/>
        <w:gridCol w:w="477"/>
        <w:gridCol w:w="476"/>
        <w:gridCol w:w="1134"/>
        <w:gridCol w:w="77"/>
        <w:gridCol w:w="1198"/>
        <w:gridCol w:w="851"/>
        <w:gridCol w:w="1134"/>
        <w:gridCol w:w="283"/>
        <w:gridCol w:w="567"/>
        <w:gridCol w:w="851"/>
        <w:gridCol w:w="992"/>
      </w:tblGrid>
      <w:tr w:rsidR="000244D7" w:rsidRPr="000701AB" w:rsidTr="00E027DE">
        <w:trPr>
          <w:trHeight w:val="172"/>
        </w:trPr>
        <w:tc>
          <w:tcPr>
            <w:tcW w:w="10774" w:type="dxa"/>
            <w:gridSpan w:val="16"/>
            <w:shd w:val="clear" w:color="auto" w:fill="000000"/>
            <w:vAlign w:val="center"/>
          </w:tcPr>
          <w:p w:rsidR="000244D7" w:rsidRPr="00552980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5298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lastRenderedPageBreak/>
              <w:t xml:space="preserve">TASAS ACTIVAS </w:t>
            </w:r>
            <w: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– BANCA EMPRESAS</w:t>
            </w:r>
          </w:p>
        </w:tc>
      </w:tr>
      <w:tr w:rsidR="000244D7" w:rsidRPr="000701AB" w:rsidTr="00E027DE">
        <w:trPr>
          <w:trHeight w:val="215"/>
        </w:trPr>
        <w:tc>
          <w:tcPr>
            <w:tcW w:w="184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0244D7" w:rsidRPr="000701AB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  <w:r w:rsidRPr="000701A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0244D7" w:rsidRPr="000701AB" w:rsidTr="00E027DE">
        <w:trPr>
          <w:trHeight w:val="243"/>
        </w:trPr>
        <w:tc>
          <w:tcPr>
            <w:tcW w:w="10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244D7" w:rsidRPr="002D18D3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18D3">
              <w:rPr>
                <w:rFonts w:ascii="Verdana" w:hAnsi="Verdana" w:cs="Arial"/>
                <w:b/>
                <w:bCs/>
                <w:sz w:val="16"/>
                <w:szCs w:val="16"/>
              </w:rPr>
              <w:t>TASAS DE PRÉSTAMOS EN PESOS</w:t>
            </w:r>
          </w:p>
        </w:tc>
      </w:tr>
      <w:tr w:rsidR="000244D7" w:rsidRPr="000701AB" w:rsidTr="00E027DE">
        <w:trPr>
          <w:trHeight w:val="3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4D7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Créditos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TNA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TEA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FA6">
              <w:rPr>
                <w:rFonts w:ascii="Arial" w:hAnsi="Arial" w:cs="Arial"/>
                <w:b/>
                <w:sz w:val="20"/>
                <w:szCs w:val="20"/>
              </w:rPr>
              <w:t>CFT EA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Tasa Mayor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Tasa Menor</w:t>
            </w:r>
          </w:p>
        </w:tc>
      </w:tr>
      <w:tr w:rsidR="000244D7" w:rsidRPr="000701AB" w:rsidTr="00E027DE">
        <w:trPr>
          <w:trHeight w:val="19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4D7" w:rsidRPr="000B6264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CFT EA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TEA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D7" w:rsidRPr="00887FA6" w:rsidRDefault="000244D7" w:rsidP="00333245">
            <w:pPr>
              <w:ind w:left="-900" w:firstLine="90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7FA6">
              <w:rPr>
                <w:rFonts w:ascii="Verdana" w:hAnsi="Verdana" w:cs="Arial"/>
                <w:b/>
                <w:sz w:val="14"/>
                <w:szCs w:val="14"/>
              </w:rPr>
              <w:t>CFT EA</w:t>
            </w:r>
          </w:p>
        </w:tc>
      </w:tr>
      <w:tr w:rsidR="007E00FF" w:rsidRPr="000701AB" w:rsidTr="00E027DE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rPr>
                <w:rFonts w:ascii="Verdana" w:hAnsi="Verdana" w:cs="Calibri"/>
                <w:sz w:val="14"/>
                <w:szCs w:val="14"/>
                <w:lang w:eastAsia="es-AR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 xml:space="preserve">Acuerdo en Cta, Cte,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7E00FF" w:rsidP="00DF5B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Badlar + 1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7</w:t>
            </w:r>
            <w:r w:rsidRPr="00011DC3">
              <w:rPr>
                <w:rFonts w:ascii="Arial" w:hAnsi="Arial" w:cs="Arial"/>
                <w:sz w:val="14"/>
                <w:szCs w:val="14"/>
              </w:rPr>
              <w:t>,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0</w:t>
            </w:r>
            <w:r w:rsidRPr="00011DC3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0872FC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Arial"/>
                <w:sz w:val="14"/>
                <w:szCs w:val="14"/>
              </w:rPr>
              <w:t>69,31%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81,15%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0872FC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80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0872FC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Arial"/>
                <w:sz w:val="14"/>
                <w:szCs w:val="14"/>
              </w:rPr>
              <w:t>117</w:t>
            </w:r>
            <w:r w:rsidR="00DF5BD8" w:rsidRPr="00011DC3">
              <w:rPr>
                <w:rFonts w:ascii="Verdana" w:hAnsi="Verdana" w:cs="Arial"/>
                <w:sz w:val="14"/>
                <w:szCs w:val="14"/>
              </w:rPr>
              <w:t>,</w:t>
            </w:r>
            <w:r w:rsidRPr="00011DC3">
              <w:rPr>
                <w:rFonts w:ascii="Verdana" w:hAnsi="Verdana" w:cs="Arial"/>
                <w:sz w:val="14"/>
                <w:szCs w:val="14"/>
              </w:rPr>
              <w:t>02</w:t>
            </w:r>
            <w:r w:rsidR="00DF5BD8" w:rsidRPr="00011DC3">
              <w:rPr>
                <w:rFonts w:ascii="Verdana" w:hAnsi="Verdana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129,26%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7E00FF" w:rsidP="00DF5B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Badlar + 1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6</w:t>
            </w:r>
            <w:r w:rsidRPr="00011DC3">
              <w:rPr>
                <w:rFonts w:ascii="Arial" w:hAnsi="Arial" w:cs="Arial"/>
                <w:sz w:val="14"/>
                <w:szCs w:val="14"/>
              </w:rPr>
              <w:t>,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0</w:t>
            </w:r>
            <w:r w:rsidRPr="00011DC3">
              <w:rPr>
                <w:rFonts w:ascii="Arial" w:hAnsi="Arial" w:cs="Arial"/>
                <w:sz w:val="14"/>
                <w:szCs w:val="14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Arial"/>
                <w:sz w:val="14"/>
                <w:szCs w:val="14"/>
              </w:rPr>
              <w:t>67,69%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77,65%</w:t>
            </w:r>
          </w:p>
        </w:tc>
      </w:tr>
      <w:tr w:rsidR="007E00FF" w:rsidRPr="000701AB" w:rsidTr="00E027DE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rPr>
                <w:rFonts w:ascii="Verdana" w:hAnsi="Verdana" w:cs="Calibri"/>
                <w:sz w:val="14"/>
                <w:szCs w:val="14"/>
                <w:lang w:eastAsia="es-AR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Comerciales s / plazo (Factoring) (</w:t>
            </w:r>
            <w:r>
              <w:rPr>
                <w:rFonts w:ascii="Verdana" w:hAnsi="Verdana" w:cs="Arial"/>
                <w:sz w:val="14"/>
                <w:szCs w:val="14"/>
              </w:rPr>
              <w:t>1</w:t>
            </w:r>
            <w:r w:rsidRPr="0002339E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FF1846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65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80,23%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81,61%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65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89,93%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101,86%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65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65</w:t>
            </w:r>
            <w:r w:rsidR="00DF5BD8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0872FC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65,41%</w:t>
            </w:r>
          </w:p>
        </w:tc>
      </w:tr>
      <w:tr w:rsidR="007E00FF" w:rsidRPr="000701AB" w:rsidTr="00E027DE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rPr>
                <w:rFonts w:ascii="Verdana" w:hAnsi="Verdana" w:cs="Calibri"/>
                <w:sz w:val="14"/>
                <w:szCs w:val="14"/>
                <w:lang w:eastAsia="es-AR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Comerciales Amortizable s/Plazo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7E00FF" w:rsidP="00826C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Badlar + 1</w:t>
            </w:r>
            <w:r w:rsidR="00FF1846" w:rsidRPr="00011DC3">
              <w:rPr>
                <w:rFonts w:ascii="Arial" w:hAnsi="Arial" w:cs="Arial"/>
                <w:sz w:val="14"/>
                <w:szCs w:val="14"/>
              </w:rPr>
              <w:t>3</w:t>
            </w:r>
            <w:r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FF1846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Calibri"/>
                <w:sz w:val="14"/>
                <w:szCs w:val="14"/>
              </w:rPr>
              <w:t>62,93%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71,49%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FF1846" w:rsidP="00826C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67</w:t>
            </w:r>
            <w:r w:rsidR="00826C87"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Arial"/>
                <w:sz w:val="14"/>
                <w:szCs w:val="14"/>
              </w:rPr>
              <w:t>91,98%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106,48%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11DC3" w:rsidRDefault="00826C87" w:rsidP="00C428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1DC3">
              <w:rPr>
                <w:rFonts w:ascii="Arial" w:hAnsi="Arial" w:cs="Arial"/>
                <w:sz w:val="14"/>
                <w:szCs w:val="14"/>
              </w:rPr>
              <w:t>Badlar + 1</w:t>
            </w:r>
            <w:r w:rsidR="00C42897">
              <w:rPr>
                <w:rFonts w:ascii="Arial" w:hAnsi="Arial" w:cs="Arial"/>
                <w:sz w:val="14"/>
                <w:szCs w:val="14"/>
              </w:rPr>
              <w:t>3</w:t>
            </w:r>
            <w:r w:rsidRPr="00011DC3">
              <w:rPr>
                <w:rFonts w:ascii="Arial" w:hAnsi="Arial" w:cs="Arial"/>
                <w:sz w:val="14"/>
                <w:szCs w:val="14"/>
              </w:rPr>
              <w:t>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11DC3">
              <w:rPr>
                <w:rFonts w:ascii="Verdana" w:hAnsi="Verdana" w:cs="Calibri"/>
                <w:sz w:val="14"/>
                <w:szCs w:val="14"/>
              </w:rPr>
              <w:t>62,93%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11DC3" w:rsidRDefault="00FF1846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011DC3">
              <w:rPr>
                <w:rFonts w:ascii="Verdana" w:hAnsi="Verdana" w:cs="Arial"/>
                <w:b/>
                <w:bCs/>
                <w:sz w:val="14"/>
                <w:szCs w:val="14"/>
              </w:rPr>
              <w:t>70,48%</w:t>
            </w:r>
          </w:p>
        </w:tc>
      </w:tr>
      <w:tr w:rsidR="007E00FF" w:rsidRPr="005C0216" w:rsidTr="00E027DE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rPr>
                <w:rFonts w:ascii="Verdana" w:hAnsi="Verdana" w:cs="Calibri"/>
                <w:sz w:val="14"/>
                <w:szCs w:val="14"/>
                <w:lang w:eastAsia="es-AR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Descubiertos sin Acuerdos en Cuenta Corriente (Empresa/Individuos)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99,00%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159,03%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565A4B" w:rsidRDefault="007E00FF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565A4B">
              <w:rPr>
                <w:rFonts w:ascii="Verdana" w:hAnsi="Verdana" w:cs="Arial"/>
                <w:b/>
                <w:bCs/>
                <w:sz w:val="14"/>
                <w:szCs w:val="14"/>
              </w:rPr>
              <w:t>167,91%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99,00%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159,03%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565A4B" w:rsidRDefault="007E00FF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565A4B">
              <w:rPr>
                <w:rFonts w:ascii="Verdana" w:hAnsi="Verdana" w:cs="Arial"/>
                <w:b/>
                <w:bCs/>
                <w:sz w:val="14"/>
                <w:szCs w:val="14"/>
              </w:rPr>
              <w:t>167,91%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99,00%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02339E" w:rsidRDefault="007E00FF" w:rsidP="007E00FF">
            <w:pPr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02339E">
              <w:rPr>
                <w:rFonts w:ascii="Verdana" w:hAnsi="Verdana" w:cs="Arial"/>
                <w:sz w:val="14"/>
                <w:szCs w:val="14"/>
              </w:rPr>
              <w:t>159,03%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FF" w:rsidRPr="00565A4B" w:rsidRDefault="007E00FF" w:rsidP="007E00FF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565A4B">
              <w:rPr>
                <w:rFonts w:ascii="Verdana" w:hAnsi="Verdana" w:cs="Arial"/>
                <w:b/>
                <w:bCs/>
                <w:sz w:val="14"/>
                <w:szCs w:val="14"/>
              </w:rPr>
              <w:t>167,91%</w:t>
            </w:r>
          </w:p>
        </w:tc>
      </w:tr>
    </w:tbl>
    <w:p w:rsidR="000244D7" w:rsidRDefault="000244D7" w:rsidP="000244D7">
      <w:pPr>
        <w:rPr>
          <w:rFonts w:ascii="Verdana" w:hAnsi="Verdana" w:cs="Arial"/>
          <w:sz w:val="18"/>
          <w:szCs w:val="18"/>
          <w:highlight w:val="darkGray"/>
        </w:rPr>
      </w:pPr>
    </w:p>
    <w:p w:rsidR="007A3A5F" w:rsidRDefault="007A3A5F" w:rsidP="007A3A5F">
      <w:pPr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934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  <w:gridCol w:w="160"/>
      </w:tblGrid>
      <w:tr w:rsidR="00403972" w:rsidTr="00E027DE">
        <w:trPr>
          <w:trHeight w:val="172"/>
        </w:trPr>
        <w:tc>
          <w:tcPr>
            <w:tcW w:w="10774" w:type="dxa"/>
            <w:shd w:val="clear" w:color="auto" w:fill="000000"/>
            <w:vAlign w:val="center"/>
            <w:hideMark/>
          </w:tcPr>
          <w:p w:rsidR="00403972" w:rsidRDefault="00403972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TASAS ACTIVAS – BANCA INDIVIDUOS</w:t>
            </w:r>
          </w:p>
        </w:tc>
        <w:tc>
          <w:tcPr>
            <w:tcW w:w="160" w:type="dxa"/>
            <w:shd w:val="clear" w:color="auto" w:fill="000000"/>
          </w:tcPr>
          <w:p w:rsidR="00403972" w:rsidRDefault="00403972" w:rsidP="00403972">
            <w:pPr>
              <w:ind w:left="-900" w:firstLine="1116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403972" w:rsidTr="00E027DE">
        <w:trPr>
          <w:trHeight w:val="269"/>
        </w:trPr>
        <w:tc>
          <w:tcPr>
            <w:tcW w:w="10774" w:type="dxa"/>
            <w:shd w:val="clear" w:color="auto" w:fill="FFFFFF"/>
            <w:vAlign w:val="center"/>
          </w:tcPr>
          <w:p w:rsidR="00403972" w:rsidRDefault="00403972">
            <w:pPr>
              <w:ind w:left="-900" w:firstLine="900"/>
              <w:rPr>
                <w:rFonts w:ascii="Verdana" w:hAnsi="Verdana" w:cs="Arial"/>
                <w:sz w:val="12"/>
                <w:szCs w:val="14"/>
              </w:rPr>
            </w:pPr>
          </w:p>
          <w:tbl>
            <w:tblPr>
              <w:tblW w:w="10632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992"/>
              <w:gridCol w:w="851"/>
              <w:gridCol w:w="709"/>
              <w:gridCol w:w="850"/>
              <w:gridCol w:w="709"/>
              <w:gridCol w:w="850"/>
              <w:gridCol w:w="709"/>
              <w:gridCol w:w="851"/>
              <w:gridCol w:w="709"/>
              <w:gridCol w:w="850"/>
              <w:gridCol w:w="709"/>
              <w:gridCol w:w="850"/>
            </w:tblGrid>
            <w:tr w:rsidR="0069596D" w:rsidRPr="007B73AE" w:rsidTr="009F396C">
              <w:trPr>
                <w:trHeight w:val="380"/>
              </w:trPr>
              <w:tc>
                <w:tcPr>
                  <w:tcW w:w="993" w:type="dxa"/>
                  <w:vMerge w:val="restart"/>
                  <w:vAlign w:val="center"/>
                  <w:hideMark/>
                </w:tcPr>
                <w:p w:rsidR="00403972" w:rsidRPr="006139C6" w:rsidRDefault="00403972" w:rsidP="00E027DE">
                  <w:pPr>
                    <w:ind w:left="-29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Créditos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403972" w:rsidRPr="006139C6" w:rsidRDefault="00403972" w:rsidP="006139C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  <w:r w:rsidR="007A04A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 xml:space="preserve"> EA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403972" w:rsidRPr="007B73AE" w:rsidRDefault="007A04A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 xml:space="preserve"> 1 EA</w:t>
                  </w:r>
                </w:p>
              </w:tc>
              <w:tc>
                <w:tcPr>
                  <w:tcW w:w="3119" w:type="dxa"/>
                  <w:gridSpan w:val="4"/>
                  <w:vAlign w:val="center"/>
                  <w:hideMark/>
                </w:tcPr>
                <w:p w:rsidR="00403972" w:rsidRPr="007B73AE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Tasa Mayor</w:t>
                  </w:r>
                </w:p>
              </w:tc>
              <w:tc>
                <w:tcPr>
                  <w:tcW w:w="3118" w:type="dxa"/>
                  <w:gridSpan w:val="4"/>
                  <w:vAlign w:val="center"/>
                  <w:hideMark/>
                </w:tcPr>
                <w:p w:rsidR="00403972" w:rsidRPr="007B73AE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Tasa Menor</w:t>
                  </w:r>
                </w:p>
              </w:tc>
            </w:tr>
            <w:tr w:rsidR="0069596D" w:rsidRPr="007B73AE" w:rsidTr="009F396C">
              <w:trPr>
                <w:trHeight w:val="359"/>
              </w:trPr>
              <w:tc>
                <w:tcPr>
                  <w:tcW w:w="993" w:type="dxa"/>
                  <w:vMerge/>
                  <w:vAlign w:val="center"/>
                  <w:hideMark/>
                </w:tcPr>
                <w:p w:rsidR="00403972" w:rsidRPr="007B73AE" w:rsidRDefault="00403972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03972" w:rsidRPr="007B73AE" w:rsidRDefault="00403972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03972" w:rsidRPr="007B73AE" w:rsidRDefault="00403972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403972" w:rsidRPr="007B73AE" w:rsidRDefault="0040397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403972" w:rsidRPr="007B73AE" w:rsidRDefault="0040397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03972" w:rsidRPr="006139C6" w:rsidRDefault="00403972" w:rsidP="007A04A8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 xml:space="preserve">CFT </w:t>
                  </w:r>
                  <w:r w:rsidR="007A04A8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EA</w:t>
                  </w:r>
                </w:p>
              </w:tc>
              <w:tc>
                <w:tcPr>
                  <w:tcW w:w="851" w:type="dxa"/>
                  <w:vAlign w:val="center"/>
                </w:tcPr>
                <w:p w:rsidR="00403972" w:rsidRPr="007B73AE" w:rsidRDefault="007A04A8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 xml:space="preserve"> 1 EA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TNA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03972" w:rsidRPr="006139C6" w:rsidRDefault="00403972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TEA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03972" w:rsidRPr="006139C6" w:rsidRDefault="007A04A8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6139C6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 xml:space="preserve">CFT </w:t>
                  </w: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EA</w:t>
                  </w:r>
                </w:p>
              </w:tc>
              <w:tc>
                <w:tcPr>
                  <w:tcW w:w="850" w:type="dxa"/>
                  <w:vAlign w:val="center"/>
                </w:tcPr>
                <w:p w:rsidR="00403972" w:rsidRPr="007B73AE" w:rsidRDefault="007A04A8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6139C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>CFT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AR"/>
                    </w:rPr>
                    <w:t xml:space="preserve"> 1 EA</w:t>
                  </w:r>
                </w:p>
              </w:tc>
            </w:tr>
            <w:tr w:rsidR="00434B6E" w:rsidRPr="007B73AE" w:rsidTr="009F396C">
              <w:trPr>
                <w:trHeight w:val="359"/>
              </w:trPr>
              <w:tc>
                <w:tcPr>
                  <w:tcW w:w="993" w:type="dxa"/>
                  <w:vAlign w:val="center"/>
                  <w:hideMark/>
                </w:tcPr>
                <w:p w:rsidR="00434B6E" w:rsidRPr="007B73AE" w:rsidRDefault="00434B6E" w:rsidP="00434B6E">
                  <w:pPr>
                    <w:rPr>
                      <w:rFonts w:ascii="Verdana" w:hAnsi="Verdana"/>
                      <w:sz w:val="14"/>
                      <w:szCs w:val="14"/>
                      <w:highlight w:val="yellow"/>
                      <w:lang w:eastAsia="es-AR"/>
                    </w:rPr>
                  </w:pPr>
                  <w:r w:rsidRPr="00BF3B55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Hipo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tecarios</w:t>
                  </w:r>
                  <w:r w:rsidRPr="00BF3B55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 xml:space="preserve"> (UVA)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 xml:space="preserve"> (2)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9,90%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10,21%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11,05%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10,90%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11,30%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12,12%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8,90%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9,14%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9,99%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34B6E" w:rsidRPr="00434B6E" w:rsidRDefault="00434B6E" w:rsidP="00434B6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434B6E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</w:tr>
            <w:tr w:rsidR="00B63CFA" w:rsidRPr="007B73AE" w:rsidTr="009F396C">
              <w:trPr>
                <w:trHeight w:val="359"/>
              </w:trPr>
              <w:tc>
                <w:tcPr>
                  <w:tcW w:w="993" w:type="dxa"/>
                  <w:vAlign w:val="center"/>
                </w:tcPr>
                <w:p w:rsidR="00B63CFA" w:rsidRPr="006E6B84" w:rsidRDefault="00B63CFA" w:rsidP="00B7728F">
                  <w:pPr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6E6B84">
                    <w:rPr>
                      <w:rFonts w:ascii="Verdana" w:hAnsi="Verdana" w:cs="Arial"/>
                      <w:sz w:val="14"/>
                      <w:szCs w:val="14"/>
                    </w:rPr>
                    <w:t xml:space="preserve">Personales Mercado Abierto </w:t>
                  </w:r>
                  <w:r w:rsidRPr="006E6B84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(3)</w:t>
                  </w:r>
                </w:p>
              </w:tc>
              <w:tc>
                <w:tcPr>
                  <w:tcW w:w="992" w:type="dxa"/>
                  <w:vAlign w:val="center"/>
                </w:tcPr>
                <w:p w:rsidR="00B63CFA" w:rsidRPr="00B63CFA" w:rsidRDefault="00B63CFA" w:rsidP="006E6B84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91,00%</w:t>
                  </w:r>
                </w:p>
              </w:tc>
              <w:tc>
                <w:tcPr>
                  <w:tcW w:w="851" w:type="dxa"/>
                  <w:vAlign w:val="center"/>
                </w:tcPr>
                <w:p w:rsidR="00B63CFA" w:rsidRPr="00B63CFA" w:rsidRDefault="00B63CFA" w:rsidP="00B7728F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140,51%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B7728F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B7728F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186,94%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3034B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92,00%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3034B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142,75%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3034B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63CFA" w:rsidRPr="00B63CFA" w:rsidRDefault="00B63CFA" w:rsidP="003034B6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190,14%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Default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90,00%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Default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138,28%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Default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Default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183,77%</w:t>
                  </w:r>
                </w:p>
              </w:tc>
            </w:tr>
            <w:tr w:rsidR="00B63CFA" w:rsidRPr="007B73AE" w:rsidTr="009F396C">
              <w:trPr>
                <w:trHeight w:val="359"/>
              </w:trPr>
              <w:tc>
                <w:tcPr>
                  <w:tcW w:w="993" w:type="dxa"/>
                  <w:vAlign w:val="center"/>
                </w:tcPr>
                <w:p w:rsidR="00B63CFA" w:rsidRPr="006E6B84" w:rsidRDefault="00B63CFA" w:rsidP="006C3650">
                  <w:pPr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6E6B84">
                    <w:rPr>
                      <w:rFonts w:ascii="Verdana" w:hAnsi="Verdana" w:cs="Arial"/>
                      <w:sz w:val="14"/>
                      <w:szCs w:val="14"/>
                    </w:rPr>
                    <w:t xml:space="preserve">Personales Mercado Cerrado </w:t>
                  </w:r>
                  <w:r w:rsidRPr="006E6B84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(4)</w:t>
                  </w:r>
                </w:p>
              </w:tc>
              <w:tc>
                <w:tcPr>
                  <w:tcW w:w="992" w:type="dxa"/>
                  <w:vAlign w:val="center"/>
                </w:tcPr>
                <w:p w:rsidR="00B63CFA" w:rsidRPr="00B63CFA" w:rsidRDefault="00B63CFA" w:rsidP="002942C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75,00%</w:t>
                  </w:r>
                </w:p>
              </w:tc>
              <w:tc>
                <w:tcPr>
                  <w:tcW w:w="851" w:type="dxa"/>
                  <w:vAlign w:val="center"/>
                </w:tcPr>
                <w:p w:rsidR="00B63CFA" w:rsidRPr="00B63CFA" w:rsidRDefault="00B63CFA" w:rsidP="002942C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107,05%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2942C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2942CE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  <w:highlight w:val="yellow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139,95%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6E6B84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77,00%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6E6B84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110,98%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6E6B84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63CFA" w:rsidRPr="00B63CFA" w:rsidRDefault="00B63CFA" w:rsidP="006E6B84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145,41%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70</w:t>
                  </w: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,00%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97,51%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63CFA" w:rsidRPr="00B63CFA" w:rsidRDefault="00B63CFA" w:rsidP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63CFA" w:rsidRPr="00B63CFA" w:rsidRDefault="00B63CFA" w:rsidP="00B63CFA">
                  <w:pPr>
                    <w:jc w:val="center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B63CFA">
                    <w:rPr>
                      <w:rFonts w:ascii="Verdana" w:hAnsi="Verdana" w:cs="Arial"/>
                      <w:sz w:val="14"/>
                      <w:szCs w:val="14"/>
                    </w:rPr>
                    <w:t>126,78%</w:t>
                  </w:r>
                </w:p>
              </w:tc>
            </w:tr>
            <w:tr w:rsidR="002942CE" w:rsidRPr="007B73AE" w:rsidTr="009F396C">
              <w:trPr>
                <w:trHeight w:val="343"/>
              </w:trPr>
              <w:tc>
                <w:tcPr>
                  <w:tcW w:w="993" w:type="dxa"/>
                  <w:vMerge w:val="restart"/>
                  <w:vAlign w:val="center"/>
                  <w:hideMark/>
                </w:tcPr>
                <w:p w:rsidR="002942CE" w:rsidRPr="002D55EA" w:rsidRDefault="002942CE" w:rsidP="00EC53CB">
                  <w:pP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 xml:space="preserve">Cta. </w:t>
                  </w:r>
                  <w:r w:rsidRPr="002D55EA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Ade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lanto (</w:t>
                  </w:r>
                  <w:r w:rsidR="00EC53CB"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5</w:t>
                  </w:r>
                  <w:r>
                    <w:rPr>
                      <w:rFonts w:ascii="Verdana" w:hAnsi="Verdana"/>
                      <w:sz w:val="14"/>
                      <w:szCs w:val="14"/>
                      <w:lang w:eastAsia="es-AR"/>
                    </w:rPr>
                    <w:t>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Encuesta PF+45%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942CE" w:rsidRPr="002D55EA" w:rsidRDefault="002942CE" w:rsidP="002942CE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</w:pPr>
                  <w:r w:rsidRPr="002D55EA">
                    <w:rPr>
                      <w:rFonts w:ascii="Verdana" w:hAnsi="Verdana"/>
                      <w:b/>
                      <w:bCs/>
                      <w:sz w:val="14"/>
                      <w:szCs w:val="14"/>
                      <w:lang w:eastAsia="es-AR"/>
                    </w:rPr>
                    <w:t>N/A</w:t>
                  </w:r>
                </w:p>
              </w:tc>
            </w:tr>
            <w:tr w:rsidR="002942CE" w:rsidRPr="007B73AE" w:rsidTr="009F396C">
              <w:trPr>
                <w:trHeight w:val="170"/>
              </w:trPr>
              <w:tc>
                <w:tcPr>
                  <w:tcW w:w="993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14"/>
                      <w:szCs w:val="14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2942CE" w:rsidRPr="007B73AE" w:rsidRDefault="002942CE" w:rsidP="002942CE">
                  <w:pPr>
                    <w:rPr>
                      <w:rFonts w:ascii="Verdana" w:hAnsi="Verdana"/>
                      <w:b/>
                      <w:bCs/>
                      <w:sz w:val="20"/>
                      <w:szCs w:val="20"/>
                      <w:highlight w:val="yellow"/>
                      <w:lang w:eastAsia="es-AR"/>
                    </w:rPr>
                  </w:pPr>
                </w:p>
              </w:tc>
            </w:tr>
          </w:tbl>
          <w:p w:rsidR="00403972" w:rsidRPr="007B73AE" w:rsidRDefault="00403972">
            <w:pPr>
              <w:ind w:left="-900" w:firstLine="900"/>
              <w:rPr>
                <w:rFonts w:ascii="Verdana" w:hAnsi="Verdana" w:cs="Arial"/>
                <w:sz w:val="12"/>
                <w:szCs w:val="14"/>
                <w:highlight w:val="yellow"/>
              </w:rPr>
            </w:pPr>
          </w:p>
          <w:p w:rsidR="00403972" w:rsidRPr="007B73AE" w:rsidRDefault="00403972">
            <w:pPr>
              <w:rPr>
                <w:rFonts w:ascii="Verdana" w:hAnsi="Verdana" w:cs="Arial"/>
                <w:sz w:val="12"/>
                <w:szCs w:val="14"/>
                <w:highlight w:val="yellow"/>
              </w:rPr>
            </w:pPr>
          </w:p>
          <w:p w:rsidR="00403972" w:rsidRDefault="00403972" w:rsidP="00837D4F">
            <w:pPr>
              <w:rPr>
                <w:rFonts w:ascii="Arial" w:hAnsi="Arial" w:cs="Arial"/>
                <w:sz w:val="12"/>
                <w:szCs w:val="14"/>
              </w:rPr>
            </w:pPr>
          </w:p>
        </w:tc>
        <w:tc>
          <w:tcPr>
            <w:tcW w:w="160" w:type="dxa"/>
            <w:shd w:val="clear" w:color="auto" w:fill="FFFFFF"/>
          </w:tcPr>
          <w:p w:rsidR="00403972" w:rsidRDefault="00403972" w:rsidP="00403972">
            <w:pPr>
              <w:ind w:left="-900" w:firstLine="1116"/>
              <w:rPr>
                <w:rFonts w:ascii="Verdana" w:hAnsi="Verdana" w:cs="Arial"/>
                <w:sz w:val="12"/>
                <w:szCs w:val="14"/>
              </w:rPr>
            </w:pPr>
          </w:p>
        </w:tc>
      </w:tr>
    </w:tbl>
    <w:p w:rsidR="00C4222F" w:rsidRDefault="00837D4F" w:rsidP="00837D4F">
      <w:pPr>
        <w:ind w:left="-709"/>
        <w:rPr>
          <w:rFonts w:ascii="Verdana" w:hAnsi="Verdana" w:cs="Arial"/>
          <w:sz w:val="12"/>
          <w:szCs w:val="14"/>
        </w:rPr>
      </w:pPr>
      <w:r w:rsidRPr="00837D4F">
        <w:rPr>
          <w:rFonts w:ascii="Verdana" w:hAnsi="Verdana" w:cs="Arial"/>
          <w:sz w:val="12"/>
          <w:szCs w:val="14"/>
        </w:rPr>
        <w:t xml:space="preserve">(*) </w:t>
      </w:r>
      <w:r w:rsidR="00C4222F">
        <w:rPr>
          <w:rFonts w:ascii="Verdana" w:hAnsi="Verdana" w:cs="Arial"/>
          <w:sz w:val="12"/>
          <w:szCs w:val="14"/>
        </w:rPr>
        <w:t>Consideraciones Generales – Tasas Activas Banca Empresas:</w:t>
      </w:r>
    </w:p>
    <w:p w:rsidR="006139C6" w:rsidRDefault="006139C6" w:rsidP="006139C6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Las condiciones de cálculo para Tasa Mayor, General y Menor, están vinculadas y depende de las condiciones </w:t>
      </w:r>
      <w:r w:rsidR="00565A4B">
        <w:rPr>
          <w:rFonts w:ascii="Verdana" w:hAnsi="Verdana" w:cs="Arial"/>
          <w:sz w:val="12"/>
          <w:szCs w:val="14"/>
        </w:rPr>
        <w:t xml:space="preserve">contractuales </w:t>
      </w:r>
      <w:r>
        <w:rPr>
          <w:rFonts w:ascii="Verdana" w:hAnsi="Verdana" w:cs="Arial"/>
          <w:sz w:val="12"/>
          <w:szCs w:val="14"/>
        </w:rPr>
        <w:t>de alta de cada producto.</w:t>
      </w:r>
    </w:p>
    <w:p w:rsidR="006139C6" w:rsidRDefault="006139C6" w:rsidP="00434B6E">
      <w:pPr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La </w:t>
      </w:r>
      <w:r w:rsidRPr="00837D4F">
        <w:rPr>
          <w:rFonts w:ascii="Verdana" w:hAnsi="Verdana" w:cs="Arial"/>
          <w:sz w:val="12"/>
          <w:szCs w:val="14"/>
        </w:rPr>
        <w:t xml:space="preserve">Tasa Badlar de referencia </w:t>
      </w:r>
      <w:r>
        <w:rPr>
          <w:rFonts w:ascii="Verdana" w:hAnsi="Verdana" w:cs="Arial"/>
          <w:sz w:val="12"/>
          <w:szCs w:val="14"/>
        </w:rPr>
        <w:t xml:space="preserve">es la </w:t>
      </w:r>
      <w:r w:rsidRPr="00837D4F">
        <w:rPr>
          <w:rFonts w:ascii="Verdana" w:hAnsi="Verdana" w:cs="Arial"/>
          <w:sz w:val="12"/>
          <w:szCs w:val="14"/>
        </w:rPr>
        <w:t xml:space="preserve">correspondiente al </w:t>
      </w:r>
      <w:r w:rsidR="00011DC3" w:rsidRPr="00011DC3">
        <w:rPr>
          <w:rFonts w:ascii="Verdana" w:hAnsi="Verdana" w:cs="Arial"/>
          <w:b/>
          <w:sz w:val="12"/>
          <w:szCs w:val="14"/>
        </w:rPr>
        <w:t>03</w:t>
      </w:r>
      <w:r w:rsidRPr="00011DC3">
        <w:rPr>
          <w:rFonts w:ascii="Verdana" w:hAnsi="Verdana" w:cs="Arial"/>
          <w:b/>
          <w:sz w:val="12"/>
          <w:szCs w:val="14"/>
        </w:rPr>
        <w:t>/</w:t>
      </w:r>
      <w:r w:rsidR="00011DC3" w:rsidRPr="00011DC3">
        <w:rPr>
          <w:rFonts w:ascii="Verdana" w:hAnsi="Verdana" w:cs="Arial"/>
          <w:b/>
          <w:sz w:val="12"/>
          <w:szCs w:val="14"/>
        </w:rPr>
        <w:t>08</w:t>
      </w:r>
      <w:r w:rsidRPr="00011DC3">
        <w:rPr>
          <w:rFonts w:ascii="Verdana" w:hAnsi="Verdana" w:cs="Arial"/>
          <w:b/>
          <w:sz w:val="12"/>
          <w:szCs w:val="14"/>
        </w:rPr>
        <w:t>/2</w:t>
      </w:r>
      <w:r w:rsidR="00011DC3" w:rsidRPr="00011DC3">
        <w:rPr>
          <w:rFonts w:ascii="Verdana" w:hAnsi="Verdana" w:cs="Arial"/>
          <w:b/>
          <w:sz w:val="12"/>
          <w:szCs w:val="14"/>
        </w:rPr>
        <w:t>5</w:t>
      </w:r>
      <w:r w:rsidRPr="00011DC3">
        <w:rPr>
          <w:rFonts w:ascii="Verdana" w:hAnsi="Verdana" w:cs="Arial"/>
          <w:b/>
          <w:sz w:val="12"/>
          <w:szCs w:val="14"/>
        </w:rPr>
        <w:t xml:space="preserve"> </w:t>
      </w:r>
      <w:r>
        <w:rPr>
          <w:rFonts w:ascii="Verdana" w:hAnsi="Verdana" w:cs="Arial"/>
          <w:sz w:val="12"/>
          <w:szCs w:val="14"/>
        </w:rPr>
        <w:t xml:space="preserve">que es </w:t>
      </w:r>
      <w:r w:rsidRPr="00C4222F">
        <w:rPr>
          <w:rFonts w:ascii="Verdana" w:hAnsi="Verdana" w:cs="Arial"/>
          <w:sz w:val="12"/>
          <w:szCs w:val="14"/>
        </w:rPr>
        <w:t xml:space="preserve">del </w:t>
      </w:r>
      <w:r w:rsidR="000872FC" w:rsidRPr="00011DC3">
        <w:rPr>
          <w:rFonts w:ascii="Verdana" w:hAnsi="Verdana" w:cs="Arial"/>
          <w:b/>
          <w:sz w:val="12"/>
          <w:szCs w:val="14"/>
        </w:rPr>
        <w:t>36,81%</w:t>
      </w:r>
    </w:p>
    <w:p w:rsidR="00C4222F" w:rsidRDefault="006139C6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Las l</w:t>
      </w:r>
      <w:r w:rsidR="00837D4F" w:rsidRPr="00837D4F">
        <w:rPr>
          <w:rFonts w:ascii="Verdana" w:hAnsi="Verdana" w:cs="Arial"/>
          <w:sz w:val="12"/>
          <w:szCs w:val="14"/>
        </w:rPr>
        <w:t xml:space="preserve">íneas Especiales con tasas subsidiadas </w:t>
      </w:r>
      <w:r w:rsidR="00C4222F">
        <w:rPr>
          <w:rFonts w:ascii="Verdana" w:hAnsi="Verdana" w:cs="Arial"/>
          <w:sz w:val="12"/>
          <w:szCs w:val="14"/>
        </w:rPr>
        <w:t xml:space="preserve">no están expresadas en el presente documento. </w:t>
      </w:r>
    </w:p>
    <w:p w:rsidR="00C4222F" w:rsidRDefault="00837D4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 w:rsidRPr="00837D4F">
        <w:rPr>
          <w:rFonts w:ascii="Verdana" w:hAnsi="Verdana" w:cs="Arial"/>
          <w:sz w:val="12"/>
          <w:szCs w:val="14"/>
        </w:rPr>
        <w:t>El Costo Financiero Total es expresado en Ta</w:t>
      </w:r>
      <w:r w:rsidR="006139C6">
        <w:rPr>
          <w:rFonts w:ascii="Verdana" w:hAnsi="Verdana" w:cs="Arial"/>
          <w:sz w:val="12"/>
          <w:szCs w:val="14"/>
        </w:rPr>
        <w:t>sa Efectiva Anual y es calculado</w:t>
      </w:r>
      <w:r w:rsidRPr="00837D4F">
        <w:rPr>
          <w:rFonts w:ascii="Verdana" w:hAnsi="Verdana" w:cs="Arial"/>
          <w:sz w:val="12"/>
          <w:szCs w:val="14"/>
        </w:rPr>
        <w:t xml:space="preserve"> para persona</w:t>
      </w:r>
      <w:r w:rsidR="00C4222F">
        <w:rPr>
          <w:rFonts w:ascii="Verdana" w:hAnsi="Verdana" w:cs="Arial"/>
          <w:sz w:val="12"/>
          <w:szCs w:val="14"/>
        </w:rPr>
        <w:t xml:space="preserve"> humana con actividad comercial.</w:t>
      </w:r>
    </w:p>
    <w:p w:rsidR="00C4222F" w:rsidRDefault="00C4222F" w:rsidP="00C4222F">
      <w:pPr>
        <w:rPr>
          <w:rFonts w:ascii="Verdana" w:hAnsi="Verdana" w:cs="Arial"/>
          <w:sz w:val="12"/>
          <w:szCs w:val="14"/>
        </w:rPr>
      </w:pPr>
    </w:p>
    <w:p w:rsidR="00C4222F" w:rsidRDefault="00C4222F" w:rsidP="00C4222F">
      <w:pPr>
        <w:rPr>
          <w:rFonts w:ascii="Verdana" w:hAnsi="Verdana" w:cs="Arial"/>
          <w:sz w:val="12"/>
          <w:szCs w:val="14"/>
        </w:rPr>
      </w:pPr>
    </w:p>
    <w:p w:rsidR="00C4222F" w:rsidRPr="00C4222F" w:rsidRDefault="00C4222F" w:rsidP="00C4222F">
      <w:pPr>
        <w:ind w:left="-709"/>
        <w:rPr>
          <w:rFonts w:ascii="Verdana" w:hAnsi="Verdana" w:cs="Arial"/>
          <w:sz w:val="12"/>
          <w:szCs w:val="14"/>
        </w:rPr>
      </w:pPr>
      <w:r w:rsidRPr="00837D4F">
        <w:rPr>
          <w:rFonts w:ascii="Verdana" w:hAnsi="Verdana" w:cs="Arial"/>
          <w:sz w:val="12"/>
          <w:szCs w:val="14"/>
        </w:rPr>
        <w:t xml:space="preserve">(*) </w:t>
      </w:r>
      <w:r>
        <w:rPr>
          <w:rFonts w:ascii="Verdana" w:hAnsi="Verdana" w:cs="Arial"/>
          <w:sz w:val="12"/>
          <w:szCs w:val="14"/>
        </w:rPr>
        <w:t>Consideraciones Particulares:</w:t>
      </w:r>
    </w:p>
    <w:p w:rsidR="00837D4F" w:rsidRDefault="00CE78A7" w:rsidP="00837D4F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Tasas Activas Banca Empresas</w:t>
      </w:r>
      <w:r w:rsidRPr="00CE78A7">
        <w:rPr>
          <w:rFonts w:ascii="Verdana" w:hAnsi="Verdana" w:cs="Arial"/>
          <w:sz w:val="12"/>
          <w:szCs w:val="14"/>
        </w:rPr>
        <w:t xml:space="preserve"> </w:t>
      </w:r>
      <w:r>
        <w:rPr>
          <w:rFonts w:ascii="Verdana" w:hAnsi="Verdana" w:cs="Arial"/>
          <w:sz w:val="12"/>
          <w:szCs w:val="14"/>
        </w:rPr>
        <w:t xml:space="preserve">- </w:t>
      </w:r>
      <w:r w:rsidR="00837D4F" w:rsidRPr="00837D4F">
        <w:rPr>
          <w:rFonts w:ascii="Verdana" w:hAnsi="Verdana" w:cs="Arial"/>
          <w:sz w:val="12"/>
          <w:szCs w:val="14"/>
        </w:rPr>
        <w:t xml:space="preserve">Comerciales s / plazo (Factoring): cálculo de tasas en forma vencida, por periodo, gastos del 0,25% y el destino es p/ Resp. Inscrip. </w:t>
      </w:r>
      <w:r>
        <w:rPr>
          <w:rFonts w:ascii="Verdana" w:hAnsi="Verdana" w:cs="Arial"/>
          <w:sz w:val="12"/>
          <w:szCs w:val="14"/>
        </w:rPr>
        <w:t>ante</w:t>
      </w:r>
      <w:r w:rsidR="00837D4F" w:rsidRPr="00837D4F">
        <w:rPr>
          <w:rFonts w:ascii="Verdana" w:hAnsi="Verdana" w:cs="Arial"/>
          <w:sz w:val="12"/>
          <w:szCs w:val="14"/>
        </w:rPr>
        <w:t xml:space="preserve"> AFIP.</w:t>
      </w:r>
    </w:p>
    <w:p w:rsidR="00837D4F" w:rsidRDefault="00CE78A7" w:rsidP="00837D4F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Tasas Activas Banca Individuos</w:t>
      </w:r>
      <w:r w:rsidRPr="00CE78A7">
        <w:rPr>
          <w:rFonts w:ascii="Verdana" w:hAnsi="Verdana" w:cs="Arial"/>
          <w:sz w:val="12"/>
          <w:szCs w:val="14"/>
        </w:rPr>
        <w:t xml:space="preserve"> </w:t>
      </w:r>
      <w:r>
        <w:rPr>
          <w:rFonts w:ascii="Verdana" w:hAnsi="Verdana" w:cs="Arial"/>
          <w:sz w:val="12"/>
          <w:szCs w:val="14"/>
        </w:rPr>
        <w:t xml:space="preserve">- </w:t>
      </w:r>
      <w:r w:rsidR="00837D4F" w:rsidRPr="00837D4F">
        <w:rPr>
          <w:rFonts w:ascii="Verdana" w:hAnsi="Verdana" w:cs="Arial"/>
          <w:sz w:val="12"/>
          <w:szCs w:val="14"/>
        </w:rPr>
        <w:t>Hipotecarios (UVA)</w:t>
      </w:r>
      <w:r w:rsidR="00837D4F">
        <w:rPr>
          <w:rFonts w:ascii="Verdana" w:hAnsi="Verdana" w:cs="Arial"/>
          <w:sz w:val="12"/>
          <w:szCs w:val="14"/>
        </w:rPr>
        <w:t xml:space="preserve">: </w:t>
      </w:r>
    </w:p>
    <w:p w:rsidR="00C4222F" w:rsidRDefault="00C4222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 w:rsidRPr="00C4222F">
        <w:rPr>
          <w:rFonts w:ascii="Verdana" w:hAnsi="Verdana" w:cs="Arial"/>
          <w:sz w:val="12"/>
          <w:szCs w:val="14"/>
        </w:rPr>
        <w:t>Monto</w:t>
      </w:r>
      <w:r>
        <w:rPr>
          <w:rFonts w:ascii="Verdana" w:hAnsi="Verdana" w:cs="Arial"/>
          <w:sz w:val="12"/>
          <w:szCs w:val="14"/>
        </w:rPr>
        <w:t xml:space="preserve"> Estimado del Préstamo: $ 10.000.000,00 equivalente al valor del</w:t>
      </w:r>
      <w:r w:rsidR="00E027DE">
        <w:rPr>
          <w:rFonts w:ascii="Verdana" w:hAnsi="Verdana" w:cs="Arial"/>
          <w:sz w:val="12"/>
          <w:szCs w:val="14"/>
        </w:rPr>
        <w:t xml:space="preserve"> importe en</w:t>
      </w:r>
      <w:r>
        <w:rPr>
          <w:rFonts w:ascii="Verdana" w:hAnsi="Verdana" w:cs="Arial"/>
          <w:sz w:val="12"/>
          <w:szCs w:val="14"/>
        </w:rPr>
        <w:t xml:space="preserve"> UVA del momento del otorgamiento. </w:t>
      </w:r>
    </w:p>
    <w:p w:rsidR="00837D4F" w:rsidRDefault="00837D4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P</w:t>
      </w:r>
      <w:r w:rsidRPr="00837D4F">
        <w:rPr>
          <w:rFonts w:ascii="Verdana" w:hAnsi="Verdana" w:cs="Arial"/>
          <w:sz w:val="12"/>
          <w:szCs w:val="14"/>
        </w:rPr>
        <w:t>lazo de reintegro de 240 meses</w:t>
      </w:r>
    </w:p>
    <w:p w:rsidR="00C4222F" w:rsidRDefault="00C4222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Tasa: </w:t>
      </w:r>
      <w:r w:rsidRPr="00C4222F">
        <w:rPr>
          <w:rFonts w:ascii="Verdana" w:hAnsi="Verdana" w:cs="Arial"/>
          <w:sz w:val="12"/>
          <w:szCs w:val="14"/>
        </w:rPr>
        <w:t>Tasa Nominal Anual (TNA)</w:t>
      </w:r>
    </w:p>
    <w:p w:rsidR="00837D4F" w:rsidRDefault="00837D4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N</w:t>
      </w:r>
      <w:r w:rsidRPr="00837D4F">
        <w:rPr>
          <w:rFonts w:ascii="Verdana" w:hAnsi="Verdana" w:cs="Arial"/>
          <w:sz w:val="12"/>
          <w:szCs w:val="14"/>
        </w:rPr>
        <w:t>o incluye la variación de la Unidades de Valor Adquisitivo</w:t>
      </w:r>
      <w:r>
        <w:rPr>
          <w:rFonts w:ascii="Verdana" w:hAnsi="Verdana" w:cs="Arial"/>
          <w:sz w:val="12"/>
          <w:szCs w:val="14"/>
        </w:rPr>
        <w:t xml:space="preserve"> (UVA)</w:t>
      </w:r>
    </w:p>
    <w:p w:rsidR="00837D4F" w:rsidRDefault="00837D4F" w:rsidP="00C4222F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E</w:t>
      </w:r>
      <w:r w:rsidRPr="00837D4F">
        <w:rPr>
          <w:rFonts w:ascii="Verdana" w:hAnsi="Verdana" w:cs="Arial"/>
          <w:sz w:val="12"/>
          <w:szCs w:val="14"/>
        </w:rPr>
        <w:t>l cargo de seguro de incendio es del 0,010% sobre el valor de tasación de la propiedad, el cual se abona y se encuentra incluido en cada una de las cuotas del préstamo Hipotecario</w:t>
      </w:r>
      <w:r w:rsidR="00670B3E">
        <w:rPr>
          <w:rFonts w:ascii="Verdana" w:hAnsi="Verdana" w:cs="Arial"/>
          <w:sz w:val="12"/>
          <w:szCs w:val="14"/>
        </w:rPr>
        <w:t xml:space="preserve"> </w:t>
      </w:r>
      <w:r w:rsidR="00670B3E" w:rsidRPr="00670B3E">
        <w:rPr>
          <w:rFonts w:ascii="Verdana" w:hAnsi="Verdana" w:cs="Arial"/>
          <w:sz w:val="12"/>
          <w:szCs w:val="14"/>
        </w:rPr>
        <w:t xml:space="preserve">(este valor puede variar en función de la </w:t>
      </w:r>
      <w:r w:rsidR="00670B3E">
        <w:rPr>
          <w:rFonts w:ascii="Verdana" w:hAnsi="Verdana" w:cs="Arial"/>
          <w:sz w:val="12"/>
          <w:szCs w:val="14"/>
        </w:rPr>
        <w:t>valuación actualizada del inmueble</w:t>
      </w:r>
      <w:r w:rsidR="00670B3E" w:rsidRPr="00670B3E">
        <w:rPr>
          <w:rFonts w:ascii="Verdana" w:hAnsi="Verdana" w:cs="Arial"/>
          <w:sz w:val="12"/>
          <w:szCs w:val="14"/>
        </w:rPr>
        <w:t>)</w:t>
      </w:r>
      <w:r w:rsidR="00670B3E">
        <w:rPr>
          <w:rFonts w:ascii="Verdana" w:hAnsi="Verdana" w:cs="Arial"/>
          <w:sz w:val="12"/>
          <w:szCs w:val="14"/>
        </w:rPr>
        <w:t>.</w:t>
      </w:r>
    </w:p>
    <w:p w:rsidR="00CE78A7" w:rsidRDefault="00670B3E" w:rsidP="00CE78A7">
      <w:pPr>
        <w:numPr>
          <w:ilvl w:val="0"/>
          <w:numId w:val="6"/>
        </w:numPr>
        <w:ind w:left="0" w:hanging="284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S</w:t>
      </w:r>
      <w:r w:rsidRPr="00670B3E">
        <w:rPr>
          <w:rFonts w:ascii="Verdana" w:hAnsi="Verdana" w:cs="Arial"/>
          <w:sz w:val="12"/>
          <w:szCs w:val="14"/>
        </w:rPr>
        <w:t>e incluye un importe de $</w:t>
      </w:r>
      <w:r>
        <w:rPr>
          <w:rFonts w:ascii="Verdana" w:hAnsi="Verdana" w:cs="Arial"/>
          <w:sz w:val="12"/>
          <w:szCs w:val="14"/>
        </w:rPr>
        <w:t>5</w:t>
      </w:r>
      <w:r w:rsidRPr="00670B3E">
        <w:rPr>
          <w:rFonts w:ascii="Verdana" w:hAnsi="Verdana" w:cs="Arial"/>
          <w:sz w:val="12"/>
          <w:szCs w:val="14"/>
        </w:rPr>
        <w:t>.</w:t>
      </w:r>
      <w:r>
        <w:rPr>
          <w:rFonts w:ascii="Verdana" w:hAnsi="Verdana" w:cs="Arial"/>
          <w:sz w:val="12"/>
          <w:szCs w:val="14"/>
        </w:rPr>
        <w:t>000</w:t>
      </w:r>
      <w:r w:rsidRPr="00670B3E">
        <w:rPr>
          <w:rFonts w:ascii="Verdana" w:hAnsi="Verdana" w:cs="Arial"/>
          <w:sz w:val="12"/>
          <w:szCs w:val="14"/>
        </w:rPr>
        <w:t>,0</w:t>
      </w:r>
      <w:r>
        <w:rPr>
          <w:rFonts w:ascii="Verdana" w:hAnsi="Verdana" w:cs="Arial"/>
          <w:sz w:val="12"/>
          <w:szCs w:val="14"/>
        </w:rPr>
        <w:t>0</w:t>
      </w:r>
      <w:r w:rsidRPr="00670B3E">
        <w:rPr>
          <w:rFonts w:ascii="Verdana" w:hAnsi="Verdana" w:cs="Arial"/>
          <w:sz w:val="12"/>
          <w:szCs w:val="14"/>
        </w:rPr>
        <w:t xml:space="preserve"> en cada una de las cuotas del préstamo Hipotecario en concepto de comisión mensual </w:t>
      </w:r>
      <w:r>
        <w:rPr>
          <w:rFonts w:ascii="Verdana" w:hAnsi="Verdana" w:cs="Arial"/>
          <w:sz w:val="12"/>
          <w:szCs w:val="14"/>
        </w:rPr>
        <w:t xml:space="preserve">aproximado </w:t>
      </w:r>
      <w:r w:rsidRPr="00670B3E">
        <w:rPr>
          <w:rFonts w:ascii="Verdana" w:hAnsi="Verdana" w:cs="Arial"/>
          <w:sz w:val="12"/>
          <w:szCs w:val="14"/>
        </w:rPr>
        <w:t>del paquete de productos bajo el cual se ofrece el préstamo hipotecar</w:t>
      </w:r>
      <w:r>
        <w:rPr>
          <w:rFonts w:ascii="Verdana" w:hAnsi="Verdana" w:cs="Arial"/>
          <w:sz w:val="12"/>
          <w:szCs w:val="14"/>
        </w:rPr>
        <w:t xml:space="preserve">io </w:t>
      </w:r>
      <w:r w:rsidRPr="00670B3E">
        <w:rPr>
          <w:rFonts w:ascii="Verdana" w:hAnsi="Verdana" w:cs="Arial"/>
          <w:sz w:val="12"/>
          <w:szCs w:val="14"/>
        </w:rPr>
        <w:t>(este valor puede variar en función de la reglamentación paquete de productos)</w:t>
      </w:r>
      <w:r>
        <w:rPr>
          <w:rFonts w:ascii="Verdana" w:hAnsi="Verdana" w:cs="Arial"/>
          <w:sz w:val="12"/>
          <w:szCs w:val="14"/>
        </w:rPr>
        <w:t>.</w:t>
      </w:r>
    </w:p>
    <w:p w:rsidR="00CE78A7" w:rsidRPr="00EC53CB" w:rsidRDefault="00CE78A7" w:rsidP="00CE78A7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 w:rsidRPr="00EC53CB">
        <w:rPr>
          <w:rFonts w:ascii="Verdana" w:hAnsi="Verdana" w:cs="Arial"/>
          <w:sz w:val="12"/>
          <w:szCs w:val="14"/>
        </w:rPr>
        <w:t xml:space="preserve">Tasas Activas Banca Individuos - </w:t>
      </w:r>
      <w:r w:rsidR="006C3650" w:rsidRPr="00EC53CB">
        <w:rPr>
          <w:rFonts w:ascii="Verdana" w:hAnsi="Verdana" w:cs="Arial"/>
          <w:sz w:val="12"/>
          <w:szCs w:val="14"/>
        </w:rPr>
        <w:t>Préstamo Personal sin garantía Real para Clientes que no cobran haberes por Bancor (Mercado Abierto)</w:t>
      </w:r>
      <w:r w:rsidRPr="00EC53CB">
        <w:rPr>
          <w:rFonts w:ascii="Verdana" w:hAnsi="Verdana" w:cs="Arial"/>
          <w:sz w:val="12"/>
          <w:szCs w:val="14"/>
        </w:rPr>
        <w:t>: CFT efectivo anual, 21% en concepto de IVA sobre intereses.</w:t>
      </w:r>
    </w:p>
    <w:p w:rsidR="00EC53CB" w:rsidRPr="00EC53CB" w:rsidRDefault="00EC53CB" w:rsidP="00EC53CB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 w:rsidRPr="00EC53CB">
        <w:rPr>
          <w:rFonts w:ascii="Verdana" w:hAnsi="Verdana" w:cs="Arial"/>
          <w:sz w:val="12"/>
          <w:szCs w:val="14"/>
        </w:rPr>
        <w:t>Tasas Activas Banca Individuos – Préstamo Personal sin garantía Real para Clientes que cobran haberes por Bancor (Mercado Cerrado): CFT efectivo anual, 21% en concepto de IVA sobre intereses.</w:t>
      </w:r>
    </w:p>
    <w:p w:rsidR="00CE78A7" w:rsidRPr="00EC53CB" w:rsidRDefault="00CE78A7" w:rsidP="00CE78A7">
      <w:pPr>
        <w:numPr>
          <w:ilvl w:val="0"/>
          <w:numId w:val="5"/>
        </w:numPr>
        <w:rPr>
          <w:rFonts w:ascii="Verdana" w:hAnsi="Verdana" w:cs="Arial"/>
          <w:sz w:val="12"/>
          <w:szCs w:val="14"/>
        </w:rPr>
      </w:pPr>
      <w:r w:rsidRPr="00EC53CB">
        <w:rPr>
          <w:rFonts w:ascii="Verdana" w:hAnsi="Verdana" w:cs="Arial"/>
          <w:sz w:val="12"/>
          <w:szCs w:val="14"/>
        </w:rPr>
        <w:t>Tasas Activas Banca Individuos - Cuenta Adelanto: CFT depende de las condiciones de alta de cada producto.</w:t>
      </w:r>
    </w:p>
    <w:p w:rsidR="00837D4F" w:rsidRPr="00837D4F" w:rsidRDefault="00837D4F" w:rsidP="00837D4F">
      <w:pPr>
        <w:ind w:left="-349"/>
        <w:rPr>
          <w:rFonts w:ascii="Verdana" w:hAnsi="Verdana" w:cs="Arial"/>
          <w:sz w:val="12"/>
          <w:szCs w:val="14"/>
        </w:rPr>
      </w:pPr>
    </w:p>
    <w:p w:rsidR="00837D4F" w:rsidRDefault="00837D4F" w:rsidP="00BF3B55">
      <w:pPr>
        <w:ind w:right="-142"/>
        <w:rPr>
          <w:rFonts w:ascii="Verdana" w:hAnsi="Verdana" w:cs="Arial"/>
          <w:sz w:val="12"/>
          <w:szCs w:val="14"/>
        </w:rPr>
      </w:pPr>
    </w:p>
    <w:p w:rsidR="00837D4F" w:rsidRDefault="00837D4F" w:rsidP="00BF3B55">
      <w:pPr>
        <w:ind w:right="-142"/>
        <w:rPr>
          <w:rFonts w:ascii="Verdana" w:hAnsi="Verdana" w:cs="Arial"/>
          <w:sz w:val="12"/>
          <w:szCs w:val="14"/>
        </w:rPr>
      </w:pPr>
    </w:p>
    <w:p w:rsidR="00837D4F" w:rsidRDefault="00837D4F" w:rsidP="00BF3B55">
      <w:pPr>
        <w:ind w:right="-142"/>
        <w:rPr>
          <w:rFonts w:ascii="Verdana" w:hAnsi="Verdana" w:cs="Arial"/>
          <w:sz w:val="12"/>
          <w:szCs w:val="14"/>
        </w:rPr>
      </w:pPr>
    </w:p>
    <w:p w:rsidR="0001317A" w:rsidRPr="00EF65DF" w:rsidRDefault="0001317A" w:rsidP="00BF3B55">
      <w:pPr>
        <w:ind w:right="-142"/>
        <w:rPr>
          <w:rFonts w:ascii="Verdana" w:hAnsi="Verdana" w:cs="Arial"/>
          <w:sz w:val="12"/>
          <w:szCs w:val="14"/>
        </w:rPr>
      </w:pPr>
      <w:r w:rsidRPr="00EF65DF">
        <w:rPr>
          <w:rFonts w:ascii="Verdana" w:hAnsi="Verdana" w:cs="Arial"/>
          <w:sz w:val="12"/>
          <w:szCs w:val="14"/>
        </w:rPr>
        <w:br w:type="page"/>
      </w:r>
    </w:p>
    <w:tbl>
      <w:tblPr>
        <w:tblW w:w="10639" w:type="dxa"/>
        <w:tblInd w:w="-7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F41EBC" w:rsidRPr="00552980" w:rsidTr="007E2911">
        <w:trPr>
          <w:trHeight w:val="172"/>
        </w:trPr>
        <w:tc>
          <w:tcPr>
            <w:tcW w:w="10639" w:type="dxa"/>
            <w:shd w:val="clear" w:color="auto" w:fill="000000"/>
            <w:vAlign w:val="center"/>
          </w:tcPr>
          <w:p w:rsidR="00F41EBC" w:rsidRPr="000D5D3E" w:rsidRDefault="00F41EBC" w:rsidP="004A72BC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0D5D3E"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  <w:lastRenderedPageBreak/>
              <w:t>TASAS ACTIVAS – TARJETAS DE CREDITO INDIVIDUOS</w:t>
            </w:r>
          </w:p>
        </w:tc>
      </w:tr>
    </w:tbl>
    <w:p w:rsidR="0056430A" w:rsidRDefault="0056430A" w:rsidP="004A72BC">
      <w:pPr>
        <w:jc w:val="center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1417"/>
        <w:gridCol w:w="1418"/>
      </w:tblGrid>
      <w:tr w:rsidR="00E70AF5" w:rsidRPr="00FE0AF4" w:rsidTr="00E70AF5">
        <w:trPr>
          <w:trHeight w:val="1191"/>
        </w:trPr>
        <w:tc>
          <w:tcPr>
            <w:tcW w:w="2127" w:type="dxa"/>
            <w:shd w:val="clear" w:color="000000" w:fill="808080"/>
            <w:vAlign w:val="center"/>
            <w:hideMark/>
          </w:tcPr>
          <w:p w:rsidR="00E70AF5" w:rsidRPr="001A24AD" w:rsidRDefault="00E70AF5" w:rsidP="00872DB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Tarjetas</w:t>
            </w:r>
          </w:p>
        </w:tc>
        <w:tc>
          <w:tcPr>
            <w:tcW w:w="1417" w:type="dxa"/>
            <w:shd w:val="clear" w:color="000000" w:fill="808080"/>
            <w:vAlign w:val="center"/>
            <w:hideMark/>
          </w:tcPr>
          <w:p w:rsidR="00E70AF5" w:rsidRPr="001A24AD" w:rsidRDefault="00E70AF5" w:rsidP="00872DB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TNA Intereses de Financiación (1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y 2</w:t>
            </w: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1418" w:type="dxa"/>
            <w:shd w:val="clear" w:color="000000" w:fill="808080"/>
            <w:vAlign w:val="center"/>
            <w:hideMark/>
          </w:tcPr>
          <w:p w:rsidR="00E70AF5" w:rsidRPr="001A24AD" w:rsidRDefault="009E79D5" w:rsidP="009E79D5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TNA de Interés activa </w:t>
            </w:r>
            <w:r w:rsidR="00E70AF5"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anterior</w:t>
            </w:r>
          </w:p>
        </w:tc>
        <w:tc>
          <w:tcPr>
            <w:tcW w:w="1417" w:type="dxa"/>
            <w:shd w:val="clear" w:color="000000" w:fill="808080"/>
            <w:vAlign w:val="center"/>
            <w:hideMark/>
          </w:tcPr>
          <w:p w:rsidR="00E70AF5" w:rsidRPr="001A24AD" w:rsidRDefault="00E70AF5" w:rsidP="00A10D5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TEA (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3</w:t>
            </w: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1418" w:type="dxa"/>
            <w:shd w:val="clear" w:color="000000" w:fill="808080"/>
            <w:vAlign w:val="center"/>
            <w:hideMark/>
          </w:tcPr>
          <w:p w:rsidR="00E70AF5" w:rsidRPr="001A24AD" w:rsidRDefault="00E70AF5" w:rsidP="00A10D5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TNA Intereses Punitorios (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4</w:t>
            </w:r>
            <w:r w:rsidRPr="001A24AD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1417" w:type="dxa"/>
            <w:shd w:val="clear" w:color="000000" w:fill="808080"/>
            <w:vAlign w:val="center"/>
            <w:hideMark/>
          </w:tcPr>
          <w:p w:rsidR="00E70AF5" w:rsidRPr="00960085" w:rsidRDefault="00E70AF5" w:rsidP="00E70AF5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CFT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(TEA c/IVA) (5</w:t>
            </w: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1418" w:type="dxa"/>
            <w:shd w:val="clear" w:color="000000" w:fill="808080"/>
            <w:vAlign w:val="center"/>
          </w:tcPr>
          <w:p w:rsidR="00E70AF5" w:rsidRPr="00960085" w:rsidRDefault="00E70AF5" w:rsidP="00E70AF5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CFT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(TNA c/IVA) (6</w:t>
            </w: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</w:t>
            </w:r>
          </w:p>
        </w:tc>
      </w:tr>
      <w:tr w:rsidR="00E450D4" w:rsidRPr="004A72BC" w:rsidTr="00E70AF5">
        <w:trPr>
          <w:trHeight w:val="1191"/>
        </w:trPr>
        <w:tc>
          <w:tcPr>
            <w:tcW w:w="2127" w:type="dxa"/>
            <w:shd w:val="clear" w:color="000000" w:fill="FFFFFF"/>
            <w:vAlign w:val="center"/>
          </w:tcPr>
          <w:p w:rsidR="00E450D4" w:rsidRDefault="00E450D4" w:rsidP="00E450D4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95112">
              <w:rPr>
                <w:rFonts w:ascii="Verdana" w:hAnsi="Verdana" w:cs="Arial"/>
                <w:b/>
                <w:bCs/>
                <w:sz w:val="14"/>
                <w:szCs w:val="14"/>
              </w:rPr>
              <w:t>CORDOBESA Mastercard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</w:p>
          <w:p w:rsidR="00E450D4" w:rsidRDefault="00E450D4" w:rsidP="00E450D4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95112">
              <w:rPr>
                <w:rFonts w:ascii="Verdana" w:hAnsi="Verdana" w:cs="Arial"/>
                <w:b/>
                <w:bCs/>
                <w:sz w:val="14"/>
                <w:szCs w:val="14"/>
              </w:rPr>
              <w:t>(internacional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,</w:t>
            </w:r>
            <w:r w:rsidRPr="0099511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oro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y black</w:t>
            </w:r>
            <w:r w:rsidRPr="00995112">
              <w:rPr>
                <w:rFonts w:ascii="Verdana" w:hAnsi="Verdana" w:cs="Arial"/>
                <w:b/>
                <w:bCs/>
                <w:sz w:val="14"/>
                <w:szCs w:val="14"/>
              </w:rPr>
              <w:t>)</w:t>
            </w:r>
          </w:p>
          <w:p w:rsidR="00E450D4" w:rsidRPr="00995112" w:rsidRDefault="00E450D4" w:rsidP="00E450D4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95112">
              <w:rPr>
                <w:rFonts w:ascii="Verdana" w:hAnsi="Verdana" w:cs="Arial"/>
                <w:b/>
                <w:bCs/>
                <w:sz w:val="14"/>
                <w:szCs w:val="14"/>
              </w:rPr>
              <w:t>CORDOBESA Visa (internacional y oro)</w:t>
            </w:r>
          </w:p>
          <w:p w:rsidR="00E450D4" w:rsidRPr="00872DB0" w:rsidRDefault="00E450D4" w:rsidP="00E450D4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E450D4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="00E450D4"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="00E450D4"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450D4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="00FF1083"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="004B20A8"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450D4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450D4" w:rsidRPr="003E122C" w:rsidRDefault="005B5950" w:rsidP="0092764D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44,25</w:t>
            </w:r>
            <w:r w:rsidR="0092764D" w:rsidRPr="0092764D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450D4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179,08</w:t>
            </w: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450D4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107,08%</w:t>
            </w:r>
          </w:p>
        </w:tc>
      </w:tr>
    </w:tbl>
    <w:p w:rsidR="0056430A" w:rsidRDefault="0056430A" w:rsidP="00A87E07">
      <w:pPr>
        <w:ind w:left="-900" w:firstLine="49"/>
        <w:rPr>
          <w:rFonts w:ascii="Verdana" w:hAnsi="Verdana" w:cs="Arial"/>
          <w:sz w:val="18"/>
          <w:szCs w:val="18"/>
          <w:highlight w:val="darkGray"/>
        </w:rPr>
      </w:pPr>
    </w:p>
    <w:p w:rsidR="00A10D50" w:rsidRDefault="000040A5" w:rsidP="00A10D50">
      <w:pPr>
        <w:numPr>
          <w:ilvl w:val="0"/>
          <w:numId w:val="1"/>
        </w:numPr>
        <w:ind w:right="-856"/>
        <w:outlineLvl w:val="0"/>
        <w:rPr>
          <w:rFonts w:ascii="Verdana" w:hAnsi="Verdana" w:cs="Arial"/>
          <w:sz w:val="12"/>
          <w:szCs w:val="14"/>
        </w:rPr>
      </w:pPr>
      <w:r w:rsidRPr="001A24AD">
        <w:rPr>
          <w:rFonts w:ascii="Verdana" w:hAnsi="Verdana" w:cs="Arial"/>
          <w:sz w:val="12"/>
          <w:szCs w:val="14"/>
        </w:rPr>
        <w:t>La TNA informada aplica para la financiación de saldos y se calcula a partir de la fecha de vencimiento del estado de cuenta</w:t>
      </w:r>
      <w:r w:rsidR="00A10D50">
        <w:rPr>
          <w:rFonts w:ascii="Verdana" w:hAnsi="Verdana" w:cs="Arial"/>
          <w:sz w:val="12"/>
          <w:szCs w:val="14"/>
        </w:rPr>
        <w:t xml:space="preserve">. </w:t>
      </w:r>
    </w:p>
    <w:p w:rsidR="000040A5" w:rsidRPr="001A24AD" w:rsidRDefault="00A10D50" w:rsidP="00A10D50">
      <w:pPr>
        <w:numPr>
          <w:ilvl w:val="0"/>
          <w:numId w:val="1"/>
        </w:numPr>
        <w:ind w:right="-856"/>
        <w:outlineLvl w:val="0"/>
        <w:rPr>
          <w:rFonts w:ascii="Verdana" w:hAnsi="Verdana" w:cs="Arial"/>
          <w:sz w:val="12"/>
          <w:szCs w:val="14"/>
        </w:rPr>
      </w:pPr>
      <w:r w:rsidRPr="00A10D50">
        <w:rPr>
          <w:rFonts w:ascii="Verdana" w:hAnsi="Verdana" w:cs="Arial"/>
          <w:sz w:val="12"/>
          <w:szCs w:val="14"/>
        </w:rPr>
        <w:t xml:space="preserve">TNA </w:t>
      </w:r>
      <w:r>
        <w:rPr>
          <w:rFonts w:ascii="Verdana" w:hAnsi="Verdana" w:cs="Arial"/>
          <w:sz w:val="12"/>
          <w:szCs w:val="14"/>
        </w:rPr>
        <w:t>p</w:t>
      </w:r>
      <w:r w:rsidRPr="00A10D50">
        <w:rPr>
          <w:rFonts w:ascii="Verdana" w:hAnsi="Verdana" w:cs="Arial"/>
          <w:sz w:val="12"/>
          <w:szCs w:val="14"/>
        </w:rPr>
        <w:t>ara saldos impagos menores a $200.000 y que no registran consumos en moneda extranjera por un impor</w:t>
      </w:r>
      <w:r>
        <w:rPr>
          <w:rFonts w:ascii="Verdana" w:hAnsi="Verdana" w:cs="Arial"/>
          <w:sz w:val="12"/>
          <w:szCs w:val="14"/>
        </w:rPr>
        <w:t>te total superior a los USD200.</w:t>
      </w:r>
    </w:p>
    <w:p w:rsidR="000040A5" w:rsidRPr="001A24AD" w:rsidRDefault="000040A5" w:rsidP="00CC69AE">
      <w:pPr>
        <w:numPr>
          <w:ilvl w:val="0"/>
          <w:numId w:val="1"/>
        </w:numPr>
        <w:ind w:right="-284"/>
        <w:outlineLvl w:val="0"/>
        <w:rPr>
          <w:rFonts w:ascii="Verdana" w:hAnsi="Verdana" w:cs="Arial"/>
          <w:sz w:val="12"/>
          <w:szCs w:val="12"/>
        </w:rPr>
      </w:pPr>
      <w:r w:rsidRPr="001A24AD">
        <w:rPr>
          <w:rFonts w:ascii="Verdana" w:hAnsi="Verdana" w:cs="Arial"/>
          <w:sz w:val="12"/>
          <w:szCs w:val="12"/>
        </w:rPr>
        <w:t>Tasa Efectiva Anual</w:t>
      </w:r>
    </w:p>
    <w:p w:rsidR="000040A5" w:rsidRPr="001A24AD" w:rsidRDefault="000040A5" w:rsidP="00CC69AE">
      <w:pPr>
        <w:numPr>
          <w:ilvl w:val="0"/>
          <w:numId w:val="1"/>
        </w:numPr>
        <w:ind w:right="-284"/>
        <w:outlineLvl w:val="0"/>
        <w:rPr>
          <w:rFonts w:ascii="Verdana" w:hAnsi="Verdana" w:cs="Arial"/>
          <w:sz w:val="12"/>
          <w:szCs w:val="12"/>
        </w:rPr>
      </w:pPr>
      <w:r w:rsidRPr="001A24AD">
        <w:rPr>
          <w:rFonts w:ascii="Verdana" w:hAnsi="Verdana" w:cs="Arial"/>
          <w:sz w:val="12"/>
          <w:szCs w:val="12"/>
        </w:rPr>
        <w:t>La TNA Intereses Punitorios sobre el pago mínimo impago se calcula a partir de la fecha de vencimiento del estado de cuenta</w:t>
      </w:r>
      <w:r w:rsidR="000D77B4">
        <w:rPr>
          <w:rFonts w:ascii="Verdana" w:hAnsi="Verdana" w:cs="Arial"/>
          <w:sz w:val="12"/>
          <w:szCs w:val="12"/>
        </w:rPr>
        <w:t>,</w:t>
      </w:r>
    </w:p>
    <w:p w:rsidR="0056430A" w:rsidRDefault="000040A5" w:rsidP="00EF7F2D">
      <w:pPr>
        <w:numPr>
          <w:ilvl w:val="0"/>
          <w:numId w:val="1"/>
        </w:numPr>
        <w:ind w:right="-284"/>
        <w:outlineLvl w:val="0"/>
        <w:rPr>
          <w:rFonts w:ascii="Verdana" w:hAnsi="Verdana" w:cs="Arial"/>
          <w:sz w:val="12"/>
          <w:szCs w:val="12"/>
        </w:rPr>
      </w:pPr>
      <w:r w:rsidRPr="0056430A">
        <w:rPr>
          <w:rFonts w:ascii="Verdana" w:hAnsi="Verdana" w:cs="Arial"/>
          <w:sz w:val="12"/>
          <w:szCs w:val="12"/>
        </w:rPr>
        <w:t>C</w:t>
      </w:r>
      <w:r w:rsidR="00641E90">
        <w:rPr>
          <w:rFonts w:ascii="Verdana" w:hAnsi="Verdana" w:cs="Arial"/>
          <w:sz w:val="12"/>
          <w:szCs w:val="12"/>
        </w:rPr>
        <w:t xml:space="preserve">osto </w:t>
      </w:r>
      <w:r w:rsidRPr="0056430A">
        <w:rPr>
          <w:rFonts w:ascii="Verdana" w:hAnsi="Verdana" w:cs="Arial"/>
          <w:sz w:val="12"/>
          <w:szCs w:val="12"/>
        </w:rPr>
        <w:t>F</w:t>
      </w:r>
      <w:r w:rsidR="00641E90">
        <w:rPr>
          <w:rFonts w:ascii="Verdana" w:hAnsi="Verdana" w:cs="Arial"/>
          <w:sz w:val="12"/>
          <w:szCs w:val="12"/>
        </w:rPr>
        <w:t xml:space="preserve">inanciero </w:t>
      </w:r>
      <w:r w:rsidRPr="0056430A">
        <w:rPr>
          <w:rFonts w:ascii="Verdana" w:hAnsi="Verdana" w:cs="Arial"/>
          <w:sz w:val="12"/>
          <w:szCs w:val="12"/>
        </w:rPr>
        <w:t>T</w:t>
      </w:r>
      <w:r w:rsidR="00641E90">
        <w:rPr>
          <w:rFonts w:ascii="Verdana" w:hAnsi="Verdana" w:cs="Arial"/>
          <w:sz w:val="12"/>
          <w:szCs w:val="12"/>
        </w:rPr>
        <w:t>otal calculado en base a la TE</w:t>
      </w:r>
      <w:r w:rsidRPr="0056430A">
        <w:rPr>
          <w:rFonts w:ascii="Verdana" w:hAnsi="Verdana" w:cs="Arial"/>
          <w:sz w:val="12"/>
          <w:szCs w:val="12"/>
        </w:rPr>
        <w:t>A indicada y 21,00% en concepto de I</w:t>
      </w:r>
      <w:r w:rsidR="00E70AF5">
        <w:rPr>
          <w:rFonts w:ascii="Verdana" w:hAnsi="Verdana" w:cs="Arial"/>
          <w:sz w:val="12"/>
          <w:szCs w:val="12"/>
        </w:rPr>
        <w:t>.</w:t>
      </w:r>
      <w:r w:rsidRPr="0056430A">
        <w:rPr>
          <w:rFonts w:ascii="Verdana" w:hAnsi="Verdana" w:cs="Arial"/>
          <w:sz w:val="12"/>
          <w:szCs w:val="12"/>
        </w:rPr>
        <w:t>V</w:t>
      </w:r>
      <w:r w:rsidR="00E70AF5">
        <w:rPr>
          <w:rFonts w:ascii="Verdana" w:hAnsi="Verdana" w:cs="Arial"/>
          <w:sz w:val="12"/>
          <w:szCs w:val="12"/>
        </w:rPr>
        <w:t>.</w:t>
      </w:r>
      <w:r w:rsidRPr="0056430A">
        <w:rPr>
          <w:rFonts w:ascii="Verdana" w:hAnsi="Verdana" w:cs="Arial"/>
          <w:sz w:val="12"/>
          <w:szCs w:val="12"/>
        </w:rPr>
        <w:t>A</w:t>
      </w:r>
      <w:r w:rsidR="00E70AF5">
        <w:rPr>
          <w:rFonts w:ascii="Verdana" w:hAnsi="Verdana" w:cs="Arial"/>
          <w:sz w:val="12"/>
          <w:szCs w:val="12"/>
        </w:rPr>
        <w:t>.</w:t>
      </w:r>
    </w:p>
    <w:p w:rsidR="00E70AF5" w:rsidRDefault="00E70AF5" w:rsidP="00E70AF5">
      <w:pPr>
        <w:numPr>
          <w:ilvl w:val="0"/>
          <w:numId w:val="1"/>
        </w:numPr>
        <w:ind w:right="-284"/>
        <w:outlineLvl w:val="0"/>
        <w:rPr>
          <w:rFonts w:ascii="Verdana" w:hAnsi="Verdana" w:cs="Arial"/>
          <w:sz w:val="12"/>
          <w:szCs w:val="12"/>
        </w:rPr>
      </w:pPr>
      <w:r w:rsidRPr="0056430A">
        <w:rPr>
          <w:rFonts w:ascii="Verdana" w:hAnsi="Verdana" w:cs="Arial"/>
          <w:sz w:val="12"/>
          <w:szCs w:val="12"/>
        </w:rPr>
        <w:t>C</w:t>
      </w:r>
      <w:r>
        <w:rPr>
          <w:rFonts w:ascii="Verdana" w:hAnsi="Verdana" w:cs="Arial"/>
          <w:sz w:val="12"/>
          <w:szCs w:val="12"/>
        </w:rPr>
        <w:t xml:space="preserve">osto </w:t>
      </w:r>
      <w:r w:rsidRPr="0056430A">
        <w:rPr>
          <w:rFonts w:ascii="Verdana" w:hAnsi="Verdana" w:cs="Arial"/>
          <w:sz w:val="12"/>
          <w:szCs w:val="12"/>
        </w:rPr>
        <w:t>F</w:t>
      </w:r>
      <w:r>
        <w:rPr>
          <w:rFonts w:ascii="Verdana" w:hAnsi="Verdana" w:cs="Arial"/>
          <w:sz w:val="12"/>
          <w:szCs w:val="12"/>
        </w:rPr>
        <w:t xml:space="preserve">inanciero </w:t>
      </w:r>
      <w:r w:rsidRPr="0056430A">
        <w:rPr>
          <w:rFonts w:ascii="Verdana" w:hAnsi="Verdana" w:cs="Arial"/>
          <w:sz w:val="12"/>
          <w:szCs w:val="12"/>
        </w:rPr>
        <w:t>T</w:t>
      </w:r>
      <w:r>
        <w:rPr>
          <w:rFonts w:ascii="Verdana" w:hAnsi="Verdana" w:cs="Arial"/>
          <w:sz w:val="12"/>
          <w:szCs w:val="12"/>
        </w:rPr>
        <w:t>otal calculado en base a la TNA</w:t>
      </w:r>
      <w:r w:rsidRPr="0056430A">
        <w:rPr>
          <w:rFonts w:ascii="Verdana" w:hAnsi="Verdana" w:cs="Arial"/>
          <w:sz w:val="12"/>
          <w:szCs w:val="12"/>
        </w:rPr>
        <w:t xml:space="preserve"> indicada y 21,00% en concepto de I</w:t>
      </w:r>
      <w:r>
        <w:rPr>
          <w:rFonts w:ascii="Verdana" w:hAnsi="Verdana" w:cs="Arial"/>
          <w:sz w:val="12"/>
          <w:szCs w:val="12"/>
        </w:rPr>
        <w:t>.</w:t>
      </w:r>
      <w:r w:rsidRPr="0056430A">
        <w:rPr>
          <w:rFonts w:ascii="Verdana" w:hAnsi="Verdana" w:cs="Arial"/>
          <w:sz w:val="12"/>
          <w:szCs w:val="12"/>
        </w:rPr>
        <w:t>V</w:t>
      </w:r>
      <w:r>
        <w:rPr>
          <w:rFonts w:ascii="Verdana" w:hAnsi="Verdana" w:cs="Arial"/>
          <w:sz w:val="12"/>
          <w:szCs w:val="12"/>
        </w:rPr>
        <w:t>.</w:t>
      </w:r>
      <w:r w:rsidRPr="0056430A">
        <w:rPr>
          <w:rFonts w:ascii="Verdana" w:hAnsi="Verdana" w:cs="Arial"/>
          <w:sz w:val="12"/>
          <w:szCs w:val="12"/>
        </w:rPr>
        <w:t>A</w:t>
      </w:r>
      <w:r>
        <w:rPr>
          <w:rFonts w:ascii="Verdana" w:hAnsi="Verdana" w:cs="Arial"/>
          <w:sz w:val="12"/>
          <w:szCs w:val="12"/>
        </w:rPr>
        <w:t>.</w:t>
      </w:r>
    </w:p>
    <w:p w:rsidR="00622C98" w:rsidRDefault="00622C98" w:rsidP="00622C98">
      <w:pPr>
        <w:ind w:left="-900" w:firstLine="49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639" w:type="dxa"/>
        <w:tblInd w:w="-7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622C98" w:rsidRPr="00552980" w:rsidTr="007E2911">
        <w:trPr>
          <w:trHeight w:val="172"/>
        </w:trPr>
        <w:tc>
          <w:tcPr>
            <w:tcW w:w="10639" w:type="dxa"/>
            <w:shd w:val="clear" w:color="auto" w:fill="000000"/>
            <w:vAlign w:val="center"/>
          </w:tcPr>
          <w:p w:rsidR="00872DB0" w:rsidRPr="000D5D3E" w:rsidRDefault="00872DB0" w:rsidP="00872DB0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</w:pPr>
            <w:r w:rsidRPr="000D5D3E"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  <w:t>TARJETAS DE CREDITO – CONSUMO – SALDO EN MORA – REFINANCIACIONES</w:t>
            </w:r>
          </w:p>
          <w:p w:rsidR="00641E90" w:rsidRPr="00552980" w:rsidRDefault="00872DB0" w:rsidP="00872DB0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5112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CORDOBESA Mastercard (internacional, oro y black) CORDOBESA Visa (internacional y oro)</w:t>
            </w:r>
          </w:p>
        </w:tc>
      </w:tr>
    </w:tbl>
    <w:p w:rsidR="00622C98" w:rsidRDefault="00622C98" w:rsidP="00622C98">
      <w:pPr>
        <w:ind w:left="-900" w:firstLine="49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7"/>
        <w:gridCol w:w="2126"/>
      </w:tblGrid>
      <w:tr w:rsidR="004A72BC" w:rsidTr="00D665A3">
        <w:trPr>
          <w:trHeight w:val="769"/>
        </w:trPr>
        <w:tc>
          <w:tcPr>
            <w:tcW w:w="2126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Plazos de refinanciación </w:t>
            </w:r>
          </w:p>
        </w:tc>
        <w:tc>
          <w:tcPr>
            <w:tcW w:w="2126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TNA Intereses de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Reprogramación</w:t>
            </w:r>
            <w:r w:rsidRPr="001B31BE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 (1)</w:t>
            </w:r>
          </w:p>
        </w:tc>
        <w:tc>
          <w:tcPr>
            <w:tcW w:w="2127" w:type="dxa"/>
            <w:shd w:val="clear" w:color="auto" w:fill="808080"/>
            <w:vAlign w:val="center"/>
            <w:hideMark/>
          </w:tcPr>
          <w:p w:rsidR="004A72BC" w:rsidRPr="003D2E1F" w:rsidRDefault="004A72BC" w:rsidP="009E79D5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3D2E1F">
              <w:rPr>
                <w:rFonts w:ascii="Verdana" w:hAnsi="Verdana" w:cs="Arial"/>
                <w:sz w:val="14"/>
                <w:szCs w:val="14"/>
                <w:lang w:val="es-ES"/>
              </w:rPr>
              <w:t>TNA de Interés activa anterior</w:t>
            </w:r>
          </w:p>
        </w:tc>
        <w:tc>
          <w:tcPr>
            <w:tcW w:w="2127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TEA (2)</w:t>
            </w:r>
          </w:p>
        </w:tc>
        <w:tc>
          <w:tcPr>
            <w:tcW w:w="2126" w:type="dxa"/>
            <w:shd w:val="clear" w:color="auto" w:fill="808080"/>
            <w:vAlign w:val="center"/>
            <w:hideMark/>
          </w:tcPr>
          <w:p w:rsidR="004A72BC" w:rsidRPr="004D282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CFT C/IVA (3)</w:t>
            </w:r>
          </w:p>
        </w:tc>
      </w:tr>
      <w:tr w:rsidR="005B5950" w:rsidRPr="00953A02" w:rsidTr="005B5950">
        <w:trPr>
          <w:trHeight w:val="307"/>
        </w:trPr>
        <w:tc>
          <w:tcPr>
            <w:tcW w:w="2126" w:type="dxa"/>
            <w:noWrap/>
            <w:vAlign w:val="center"/>
            <w:hideMark/>
          </w:tcPr>
          <w:p w:rsidR="005B5950" w:rsidRPr="004A72B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4A72BC">
              <w:rPr>
                <w:rFonts w:ascii="Verdana" w:hAnsi="Verdana" w:cs="Arial"/>
                <w:sz w:val="14"/>
                <w:szCs w:val="14"/>
                <w:lang w:val="es-ES"/>
              </w:rPr>
              <w:t>12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5B5950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4A72B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4A72BC">
              <w:rPr>
                <w:rFonts w:ascii="Verdana" w:hAnsi="Verdana" w:cs="Arial"/>
                <w:sz w:val="14"/>
                <w:szCs w:val="14"/>
                <w:lang w:val="es-ES"/>
              </w:rPr>
              <w:t xml:space="preserve">18 meses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5B5950">
        <w:trPr>
          <w:trHeight w:val="307"/>
        </w:trPr>
        <w:tc>
          <w:tcPr>
            <w:tcW w:w="2126" w:type="dxa"/>
            <w:noWrap/>
            <w:vAlign w:val="center"/>
            <w:hideMark/>
          </w:tcPr>
          <w:p w:rsidR="005B5950" w:rsidRPr="004A72B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4A72BC">
              <w:rPr>
                <w:rFonts w:ascii="Verdana" w:hAnsi="Verdana" w:cs="Arial"/>
                <w:sz w:val="14"/>
                <w:szCs w:val="14"/>
                <w:lang w:val="es-ES"/>
              </w:rPr>
              <w:t>24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5B5950">
        <w:trPr>
          <w:trHeight w:val="255"/>
        </w:trPr>
        <w:tc>
          <w:tcPr>
            <w:tcW w:w="2126" w:type="dxa"/>
            <w:noWrap/>
            <w:vAlign w:val="center"/>
            <w:hideMark/>
          </w:tcPr>
          <w:p w:rsidR="005B5950" w:rsidRPr="004A72B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4A72BC">
              <w:rPr>
                <w:rFonts w:ascii="Verdana" w:hAnsi="Verdana" w:cs="Arial"/>
                <w:sz w:val="14"/>
                <w:szCs w:val="14"/>
                <w:lang w:val="es-ES"/>
              </w:rPr>
              <w:t>36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</w:tbl>
    <w:p w:rsidR="005D6952" w:rsidRDefault="005D6952" w:rsidP="005D6952">
      <w:pPr>
        <w:ind w:right="-856"/>
        <w:outlineLvl w:val="0"/>
        <w:rPr>
          <w:rFonts w:ascii="Verdana" w:hAnsi="Verdana" w:cs="Arial"/>
          <w:sz w:val="12"/>
          <w:szCs w:val="14"/>
        </w:rPr>
      </w:pPr>
    </w:p>
    <w:p w:rsidR="005D6952" w:rsidRDefault="005D6952" w:rsidP="005D6952">
      <w:pPr>
        <w:numPr>
          <w:ilvl w:val="0"/>
          <w:numId w:val="3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La TNA informada</w:t>
      </w:r>
      <w:r w:rsidR="00560CBA">
        <w:rPr>
          <w:rFonts w:ascii="Verdana" w:hAnsi="Verdana" w:cs="Arial"/>
          <w:sz w:val="12"/>
          <w:szCs w:val="14"/>
        </w:rPr>
        <w:t xml:space="preserve"> aplica para la financiación de saldos y</w:t>
      </w:r>
      <w:r w:rsidR="00F3260A">
        <w:rPr>
          <w:rFonts w:ascii="Verdana" w:hAnsi="Verdana" w:cs="Arial"/>
          <w:sz w:val="12"/>
          <w:szCs w:val="14"/>
        </w:rPr>
        <w:t xml:space="preserve"> se calcula a partir de la fecha de vencimiento del estado de cuenta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F3260A" w:rsidRDefault="00F3260A" w:rsidP="005D6952">
      <w:pPr>
        <w:numPr>
          <w:ilvl w:val="0"/>
          <w:numId w:val="3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Tasa Efectiva Anual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F3260A" w:rsidRDefault="00F3260A" w:rsidP="005D6952">
      <w:pPr>
        <w:numPr>
          <w:ilvl w:val="0"/>
          <w:numId w:val="3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Costo Financiero Total calculado en base a la TEA indicada y 21% en concepto de IVA</w:t>
      </w:r>
    </w:p>
    <w:p w:rsidR="00786868" w:rsidRDefault="00786868" w:rsidP="005D6952">
      <w:pPr>
        <w:numPr>
          <w:ilvl w:val="0"/>
          <w:numId w:val="3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Costo Financiero Total calculado en base a la TEA indicada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F3260A" w:rsidRDefault="00F3260A" w:rsidP="00786868">
      <w:pPr>
        <w:ind w:right="-856"/>
        <w:outlineLvl w:val="0"/>
        <w:rPr>
          <w:rFonts w:ascii="Verdana" w:hAnsi="Verdana" w:cs="Arial"/>
          <w:sz w:val="12"/>
          <w:szCs w:val="14"/>
        </w:rPr>
      </w:pPr>
    </w:p>
    <w:p w:rsidR="00F3260A" w:rsidRPr="001A24AD" w:rsidRDefault="00F3260A" w:rsidP="00F3260A">
      <w:pPr>
        <w:ind w:left="284" w:right="-856"/>
        <w:outlineLvl w:val="0"/>
        <w:rPr>
          <w:rFonts w:ascii="Verdana" w:hAnsi="Verdana" w:cs="Arial"/>
          <w:sz w:val="12"/>
          <w:szCs w:val="14"/>
        </w:rPr>
      </w:pPr>
    </w:p>
    <w:tbl>
      <w:tblPr>
        <w:tblW w:w="10639" w:type="dxa"/>
        <w:tblInd w:w="-7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9"/>
      </w:tblGrid>
      <w:tr w:rsidR="00220ED6" w:rsidRPr="00552980" w:rsidTr="007E2911">
        <w:trPr>
          <w:trHeight w:val="172"/>
        </w:trPr>
        <w:tc>
          <w:tcPr>
            <w:tcW w:w="10639" w:type="dxa"/>
            <w:shd w:val="clear" w:color="auto" w:fill="000000"/>
            <w:vAlign w:val="center"/>
          </w:tcPr>
          <w:p w:rsidR="00C71AC2" w:rsidRPr="000D5D3E" w:rsidRDefault="00C71AC2" w:rsidP="00C71AC2">
            <w:pPr>
              <w:ind w:left="-900" w:firstLine="900"/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</w:pPr>
            <w:r w:rsidRPr="000D5D3E">
              <w:rPr>
                <w:rFonts w:ascii="Verdana" w:hAnsi="Verdana" w:cs="Arial"/>
                <w:b/>
                <w:bCs/>
                <w:color w:val="FFFFFF"/>
                <w:sz w:val="22"/>
                <w:szCs w:val="18"/>
              </w:rPr>
              <w:t>TARJETAS DE CREDITO – CONSUMO/SALDO– CUOTIFICACIONES</w:t>
            </w:r>
          </w:p>
          <w:p w:rsidR="00220ED6" w:rsidRPr="00552980" w:rsidRDefault="00C71AC2" w:rsidP="00C71AC2">
            <w:pPr>
              <w:ind w:left="-900" w:firstLine="90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95112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CORDOBESA Mastercard (internacional, oro y black) CORDOBESA Visa (internacional y oro)</w:t>
            </w:r>
          </w:p>
        </w:tc>
      </w:tr>
    </w:tbl>
    <w:p w:rsidR="00220ED6" w:rsidRDefault="00220ED6" w:rsidP="00220ED6">
      <w:pPr>
        <w:ind w:left="-900" w:firstLine="49"/>
        <w:rPr>
          <w:rFonts w:ascii="Verdana" w:hAnsi="Verdana" w:cs="Arial"/>
          <w:sz w:val="18"/>
          <w:szCs w:val="18"/>
          <w:highlight w:val="darkGray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6"/>
        <w:gridCol w:w="2127"/>
      </w:tblGrid>
      <w:tr w:rsidR="004A72BC" w:rsidRPr="00960085" w:rsidTr="00D665A3">
        <w:trPr>
          <w:trHeight w:val="769"/>
        </w:trPr>
        <w:tc>
          <w:tcPr>
            <w:tcW w:w="2126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Plazos de refinanciación </w:t>
            </w:r>
          </w:p>
        </w:tc>
        <w:tc>
          <w:tcPr>
            <w:tcW w:w="2126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TNA Intereses de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Reprogramación</w:t>
            </w:r>
            <w:r w:rsidRPr="001B31BE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 (1)</w:t>
            </w:r>
          </w:p>
        </w:tc>
        <w:tc>
          <w:tcPr>
            <w:tcW w:w="2127" w:type="dxa"/>
            <w:shd w:val="clear" w:color="auto" w:fill="808080"/>
            <w:vAlign w:val="center"/>
            <w:hideMark/>
          </w:tcPr>
          <w:p w:rsidR="004A72BC" w:rsidRPr="00953A02" w:rsidRDefault="004A72BC" w:rsidP="009E79D5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TNA de Interés activa anterior</w:t>
            </w:r>
          </w:p>
        </w:tc>
        <w:tc>
          <w:tcPr>
            <w:tcW w:w="2126" w:type="dxa"/>
            <w:shd w:val="clear" w:color="auto" w:fill="808080"/>
            <w:vAlign w:val="center"/>
            <w:hideMark/>
          </w:tcPr>
          <w:p w:rsidR="004A72BC" w:rsidRPr="00953A02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TEA (2)</w:t>
            </w:r>
          </w:p>
        </w:tc>
        <w:tc>
          <w:tcPr>
            <w:tcW w:w="2127" w:type="dxa"/>
            <w:shd w:val="clear" w:color="auto" w:fill="808080"/>
            <w:vAlign w:val="center"/>
            <w:hideMark/>
          </w:tcPr>
          <w:p w:rsidR="004A72BC" w:rsidRPr="00960085" w:rsidRDefault="004A72BC" w:rsidP="005867B7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96008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CFT C/IVA (3)</w:t>
            </w:r>
          </w:p>
        </w:tc>
      </w:tr>
      <w:tr w:rsidR="005B5950" w:rsidRPr="00953A02" w:rsidTr="0092764D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 xml:space="preserve">3 meses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92764D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 xml:space="preserve">6 meses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92764D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sz w:val="14"/>
                <w:szCs w:val="14"/>
                <w:lang w:val="es-ES"/>
              </w:rPr>
              <w:t>12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92764D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18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92764D">
        <w:trPr>
          <w:trHeight w:val="307"/>
        </w:trPr>
        <w:tc>
          <w:tcPr>
            <w:tcW w:w="2126" w:type="dxa"/>
            <w:noWrap/>
            <w:vAlign w:val="center"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sz w:val="14"/>
                <w:szCs w:val="14"/>
                <w:lang w:val="es-ES"/>
              </w:rPr>
              <w:t>24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  <w:tr w:rsidR="005B5950" w:rsidRPr="00953A02" w:rsidTr="0092764D">
        <w:trPr>
          <w:trHeight w:val="295"/>
        </w:trPr>
        <w:tc>
          <w:tcPr>
            <w:tcW w:w="2126" w:type="dxa"/>
            <w:noWrap/>
            <w:vAlign w:val="center"/>
            <w:hideMark/>
          </w:tcPr>
          <w:p w:rsidR="005B5950" w:rsidRPr="00953A02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953A02">
              <w:rPr>
                <w:rFonts w:ascii="Verdana" w:hAnsi="Verdana" w:cs="Arial"/>
                <w:sz w:val="14"/>
                <w:szCs w:val="14"/>
                <w:lang w:val="es-ES"/>
              </w:rPr>
              <w:t>36 meses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3E122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88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50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BF498C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sz w:val="14"/>
                <w:szCs w:val="14"/>
                <w:lang w:val="es-ES"/>
              </w:rPr>
              <w:t>96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,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00</w:t>
            </w:r>
            <w:r w:rsidRPr="003E122C">
              <w:rPr>
                <w:rFonts w:ascii="Verdana" w:hAnsi="Verdana" w:cs="Arial"/>
                <w:sz w:val="14"/>
                <w:szCs w:val="14"/>
                <w:lang w:val="es-ES"/>
              </w:rPr>
              <w:t>%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B5950" w:rsidRPr="0092764D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134,97%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B5950" w:rsidRPr="005B5950" w:rsidRDefault="005B5950" w:rsidP="005B5950">
            <w:pPr>
              <w:jc w:val="center"/>
              <w:rPr>
                <w:rFonts w:ascii="Verdana" w:hAnsi="Verdana" w:cs="Arial"/>
                <w:sz w:val="14"/>
                <w:szCs w:val="14"/>
                <w:lang w:val="es-ES"/>
              </w:rPr>
            </w:pPr>
            <w:r w:rsidRPr="005B5950">
              <w:rPr>
                <w:rFonts w:ascii="Verdana" w:hAnsi="Verdana" w:cs="Arial"/>
                <w:sz w:val="14"/>
                <w:szCs w:val="14"/>
                <w:lang w:val="es-ES"/>
              </w:rPr>
              <w:t>179,08%</w:t>
            </w:r>
          </w:p>
        </w:tc>
      </w:tr>
    </w:tbl>
    <w:p w:rsidR="00220ED6" w:rsidRDefault="00220ED6" w:rsidP="00220ED6">
      <w:pPr>
        <w:ind w:right="-856"/>
        <w:outlineLvl w:val="0"/>
        <w:rPr>
          <w:rFonts w:ascii="Verdana" w:hAnsi="Verdana" w:cs="Arial"/>
          <w:sz w:val="12"/>
          <w:szCs w:val="14"/>
        </w:rPr>
      </w:pPr>
    </w:p>
    <w:p w:rsidR="00220ED6" w:rsidRDefault="00220ED6" w:rsidP="00220ED6">
      <w:pPr>
        <w:numPr>
          <w:ilvl w:val="0"/>
          <w:numId w:val="4"/>
        </w:numPr>
        <w:ind w:right="-856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>La TNA informada aplica para la financiación de saldos y se calcula a partir de la fecha de vencimiento del estado de cuenta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220ED6" w:rsidRDefault="00841FCE" w:rsidP="00220ED6">
      <w:pPr>
        <w:numPr>
          <w:ilvl w:val="0"/>
          <w:numId w:val="4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  </w:t>
      </w:r>
      <w:r w:rsidR="00220ED6">
        <w:rPr>
          <w:rFonts w:ascii="Verdana" w:hAnsi="Verdana" w:cs="Arial"/>
          <w:sz w:val="12"/>
          <w:szCs w:val="14"/>
        </w:rPr>
        <w:t>Tasa Efectiva Anual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220ED6" w:rsidRDefault="00841FCE" w:rsidP="00220ED6">
      <w:pPr>
        <w:numPr>
          <w:ilvl w:val="0"/>
          <w:numId w:val="4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  </w:t>
      </w:r>
      <w:r w:rsidR="00220ED6">
        <w:rPr>
          <w:rFonts w:ascii="Verdana" w:hAnsi="Verdana" w:cs="Arial"/>
          <w:sz w:val="12"/>
          <w:szCs w:val="14"/>
        </w:rPr>
        <w:t>Costo Financiero Total calculado en base a la TEA indicada y 21% en concepto de IVA</w:t>
      </w:r>
    </w:p>
    <w:p w:rsidR="00786868" w:rsidRDefault="00786868" w:rsidP="00220ED6">
      <w:pPr>
        <w:numPr>
          <w:ilvl w:val="0"/>
          <w:numId w:val="4"/>
        </w:numPr>
        <w:ind w:left="284" w:right="-856" w:hanging="284"/>
        <w:outlineLvl w:val="0"/>
        <w:rPr>
          <w:rFonts w:ascii="Verdana" w:hAnsi="Verdana" w:cs="Arial"/>
          <w:sz w:val="12"/>
          <w:szCs w:val="14"/>
        </w:rPr>
      </w:pPr>
      <w:r>
        <w:rPr>
          <w:rFonts w:ascii="Verdana" w:hAnsi="Verdana" w:cs="Arial"/>
          <w:sz w:val="12"/>
          <w:szCs w:val="14"/>
        </w:rPr>
        <w:t xml:space="preserve">  Costo Financiero Total calculado en base a la TEA indicada</w:t>
      </w:r>
      <w:r w:rsidR="000D77B4">
        <w:rPr>
          <w:rFonts w:ascii="Verdana" w:hAnsi="Verdana" w:cs="Arial"/>
          <w:sz w:val="12"/>
          <w:szCs w:val="14"/>
        </w:rPr>
        <w:t>,</w:t>
      </w:r>
    </w:p>
    <w:p w:rsidR="00220ED6" w:rsidRPr="007F3AFF" w:rsidRDefault="00220ED6" w:rsidP="00220ED6">
      <w:pPr>
        <w:ind w:left="284" w:right="-856"/>
        <w:outlineLvl w:val="0"/>
        <w:rPr>
          <w:rFonts w:ascii="Verdana" w:hAnsi="Verdana" w:cs="Arial"/>
          <w:sz w:val="12"/>
          <w:szCs w:val="14"/>
        </w:rPr>
      </w:pPr>
    </w:p>
    <w:p w:rsidR="00F41EBC" w:rsidRDefault="00F41EBC" w:rsidP="000C6AF3">
      <w:pPr>
        <w:rPr>
          <w:rFonts w:ascii="Verdana" w:hAnsi="Verdana" w:cs="Arial"/>
          <w:sz w:val="18"/>
          <w:szCs w:val="18"/>
          <w:highlight w:val="darkGray"/>
        </w:rPr>
      </w:pPr>
    </w:p>
    <w:sectPr w:rsidR="00F41EBC" w:rsidSect="00B51970">
      <w:headerReference w:type="default" r:id="rId8"/>
      <w:footerReference w:type="default" r:id="rId9"/>
      <w:pgSz w:w="11906" w:h="16838"/>
      <w:pgMar w:top="1985" w:right="282" w:bottom="454" w:left="1418" w:header="35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CFA" w:rsidRDefault="00B63CFA">
      <w:r>
        <w:separator/>
      </w:r>
    </w:p>
  </w:endnote>
  <w:endnote w:type="continuationSeparator" w:id="0">
    <w:p w:rsidR="00B63CFA" w:rsidRDefault="00B6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FA" w:rsidRPr="003E1AF2" w:rsidRDefault="00B63CFA" w:rsidP="00144401">
    <w:pPr>
      <w:pStyle w:val="s37-6437"/>
      <w:ind w:left="-1276" w:firstLine="0"/>
      <w:rPr>
        <w:rFonts w:ascii="Verdana" w:hAnsi="Verdana" w:cs="Arial"/>
        <w:color w:val="000000"/>
        <w:sz w:val="14"/>
        <w:szCs w:val="14"/>
      </w:rPr>
    </w:pPr>
    <w:r w:rsidRPr="003E1AF2">
      <w:rPr>
        <w:rFonts w:ascii="Verdana" w:hAnsi="Verdana" w:cs="Arial"/>
        <w:color w:val="000000"/>
        <w:sz w:val="14"/>
        <w:szCs w:val="14"/>
      </w:rPr>
      <w:t>"</w:t>
    </w:r>
    <w:r w:rsidRPr="000C6AF3">
      <w:rPr>
        <w:rFonts w:ascii="Verdana" w:hAnsi="Verdana"/>
        <w:color w:val="000000"/>
        <w:sz w:val="14"/>
        <w:szCs w:val="14"/>
      </w:rPr>
      <w:t xml:space="preserve">Los depósitos en pesos y en moneda extranjera cuentan con la garantía de hasta $ </w:t>
    </w:r>
    <w:r>
      <w:rPr>
        <w:rFonts w:ascii="Verdana" w:hAnsi="Verdana"/>
        <w:color w:val="000000"/>
        <w:sz w:val="14"/>
        <w:szCs w:val="14"/>
      </w:rPr>
      <w:t>6.00</w:t>
    </w:r>
    <w:r w:rsidRPr="000C6AF3">
      <w:rPr>
        <w:rFonts w:ascii="Verdana" w:hAnsi="Verdana"/>
        <w:color w:val="000000"/>
        <w:sz w:val="14"/>
        <w:szCs w:val="14"/>
      </w:rPr>
      <w:t xml:space="preserve">0.000. En las operaciones a nombre de dos o más personas, la garantía se prorrateará entre sus titulares. En ningún caso, el total de la garantía por persona y por depósito podrá exceder de $ </w:t>
    </w:r>
    <w:r>
      <w:rPr>
        <w:rFonts w:ascii="Verdana" w:hAnsi="Verdana"/>
        <w:color w:val="000000"/>
        <w:sz w:val="14"/>
        <w:szCs w:val="14"/>
      </w:rPr>
      <w:t>6.00</w:t>
    </w:r>
    <w:r w:rsidRPr="000C6AF3">
      <w:rPr>
        <w:rFonts w:ascii="Verdana" w:hAnsi="Verdana"/>
        <w:color w:val="000000"/>
        <w:sz w:val="14"/>
        <w:szCs w:val="14"/>
      </w:rPr>
      <w:t>0.000, cualquiera sea el número de cuentas y/o depósito</w:t>
    </w:r>
    <w:r>
      <w:rPr>
        <w:rFonts w:ascii="Verdana" w:hAnsi="Verdana"/>
        <w:color w:val="000000"/>
        <w:sz w:val="14"/>
        <w:szCs w:val="14"/>
      </w:rPr>
      <w:t xml:space="preserve">s. Ley 24.485, Decreto 540/95, </w:t>
    </w:r>
    <w:r w:rsidRPr="000C6AF3">
      <w:rPr>
        <w:rFonts w:ascii="Verdana" w:hAnsi="Verdana"/>
        <w:color w:val="000000"/>
        <w:sz w:val="14"/>
        <w:szCs w:val="14"/>
      </w:rPr>
      <w:t>Com. “A” 2337</w:t>
    </w:r>
    <w:r>
      <w:rPr>
        <w:rFonts w:ascii="Verdana" w:hAnsi="Verdana"/>
        <w:color w:val="000000"/>
        <w:sz w:val="14"/>
        <w:szCs w:val="14"/>
      </w:rPr>
      <w:t xml:space="preserve">, </w:t>
    </w:r>
    <w:r w:rsidRPr="000C6AF3">
      <w:rPr>
        <w:rFonts w:ascii="Verdana" w:hAnsi="Verdana"/>
        <w:color w:val="000000"/>
        <w:sz w:val="14"/>
        <w:szCs w:val="14"/>
      </w:rPr>
      <w:t xml:space="preserve">Com. “A” </w:t>
    </w:r>
    <w:r w:rsidRPr="008A732F">
      <w:rPr>
        <w:rFonts w:ascii="Verdana" w:hAnsi="Verdana"/>
        <w:color w:val="000000"/>
        <w:sz w:val="14"/>
        <w:szCs w:val="14"/>
      </w:rPr>
      <w:t>6973</w:t>
    </w:r>
    <w:r w:rsidRPr="000C6AF3">
      <w:rPr>
        <w:rFonts w:ascii="Verdana" w:hAnsi="Verdana"/>
        <w:color w:val="000000"/>
        <w:sz w:val="14"/>
        <w:szCs w:val="14"/>
      </w:rPr>
      <w:t xml:space="preserve"> y sus modificatorias y complementarias. Se encuentran excluidos los captados a tasas superiores a la de referencia</w:t>
    </w:r>
    <w:r>
      <w:rPr>
        <w:rFonts w:ascii="Verdana" w:hAnsi="Verdana"/>
        <w:color w:val="000000"/>
        <w:sz w:val="14"/>
        <w:szCs w:val="14"/>
      </w:rPr>
      <w:t xml:space="preserve"> conforme a los límites establecidos por el Banco Central, </w:t>
    </w:r>
    <w:r w:rsidRPr="000C6AF3">
      <w:rPr>
        <w:rFonts w:ascii="Verdana" w:hAnsi="Verdana"/>
        <w:color w:val="000000"/>
        <w:sz w:val="14"/>
        <w:szCs w:val="14"/>
      </w:rPr>
      <w:t>los adquiridos por endoso y los efectuados por personas vinculadas a la entidad financiera.</w:t>
    </w:r>
    <w:r>
      <w:rPr>
        <w:rFonts w:ascii="Verdana" w:hAnsi="Verdana"/>
        <w:color w:val="000000"/>
        <w:sz w:val="14"/>
        <w:szCs w:val="14"/>
      </w:rPr>
      <w:t>”</w:t>
    </w:r>
  </w:p>
  <w:p w:rsidR="00B63CFA" w:rsidRPr="003E1AF2" w:rsidRDefault="00B63CFA" w:rsidP="00144401">
    <w:pPr>
      <w:ind w:left="-1276" w:right="-856"/>
      <w:outlineLvl w:val="0"/>
      <w:rPr>
        <w:rFonts w:ascii="Verdana" w:hAnsi="Verdana" w:cs="Arial"/>
        <w:sz w:val="14"/>
        <w:szCs w:val="14"/>
      </w:rPr>
    </w:pPr>
    <w:r w:rsidRPr="003E1AF2">
      <w:rPr>
        <w:rFonts w:ascii="Verdana" w:hAnsi="Verdana" w:cs="Arial"/>
        <w:sz w:val="14"/>
        <w:szCs w:val="14"/>
      </w:rPr>
      <w:t xml:space="preserve">Las tasas son expresadas en porcentajes. </w:t>
    </w:r>
    <w:smartTag w:uri="urn:schemas-microsoft-com:office:smarttags" w:element="PersonName">
      <w:smartTagPr>
        <w:attr w:name="ProductID" w:val="La Provincia"/>
      </w:smartTagPr>
      <w:r w:rsidRPr="003E1AF2">
        <w:rPr>
          <w:rFonts w:ascii="Verdana" w:hAnsi="Verdana" w:cs="Arial"/>
          <w:sz w:val="14"/>
          <w:szCs w:val="14"/>
        </w:rPr>
        <w:t>La Provincia</w:t>
      </w:r>
    </w:smartTag>
    <w:r w:rsidRPr="003E1AF2">
      <w:rPr>
        <w:rFonts w:ascii="Verdana" w:hAnsi="Verdana" w:cs="Arial"/>
        <w:sz w:val="14"/>
        <w:szCs w:val="14"/>
      </w:rPr>
      <w:t xml:space="preserve"> de Córdoba garantiza todas las operaciones del Banco de Córdoba (Art. 43, ley nº 5718,</w:t>
    </w:r>
  </w:p>
  <w:p w:rsidR="00B63CFA" w:rsidRPr="003E1AF2" w:rsidRDefault="00B63CFA" w:rsidP="00144401">
    <w:pPr>
      <w:ind w:left="-1276" w:right="-856"/>
      <w:outlineLvl w:val="0"/>
      <w:rPr>
        <w:rFonts w:ascii="Verdana" w:hAnsi="Verdana" w:cs="Arial"/>
        <w:sz w:val="14"/>
        <w:szCs w:val="14"/>
      </w:rPr>
    </w:pPr>
    <w:r w:rsidRPr="003E1AF2">
      <w:rPr>
        <w:rFonts w:ascii="Verdana" w:hAnsi="Verdana" w:cs="Arial"/>
        <w:sz w:val="14"/>
        <w:szCs w:val="14"/>
      </w:rPr>
      <w:t xml:space="preserve"> t.o por Ley 6474).</w:t>
    </w:r>
  </w:p>
  <w:p w:rsidR="00B63CFA" w:rsidRPr="00144401" w:rsidRDefault="00B63CFA" w:rsidP="00144401">
    <w:pPr>
      <w:pStyle w:val="Piedepgina"/>
      <w:jc w:val="right"/>
      <w:rPr>
        <w:rFonts w:ascii="Tahoma" w:hAnsi="Tahoma" w:cs="Tahoma"/>
        <w:b/>
        <w:sz w:val="16"/>
        <w:szCs w:val="16"/>
        <w:lang w:val="es-AR"/>
      </w:rPr>
    </w:pPr>
    <w:r w:rsidRPr="00092499">
      <w:rPr>
        <w:rFonts w:ascii="Tahoma" w:hAnsi="Tahoma" w:cs="Tahoma"/>
        <w:b/>
        <w:sz w:val="16"/>
        <w:szCs w:val="16"/>
      </w:rPr>
      <w:tab/>
    </w:r>
    <w:r w:rsidRPr="00092499">
      <w:rPr>
        <w:rFonts w:ascii="Tahoma" w:hAnsi="Tahoma" w:cs="Tahoma"/>
        <w:b/>
        <w:sz w:val="16"/>
        <w:szCs w:val="16"/>
      </w:rPr>
      <w:tab/>
      <w:t xml:space="preserve">Pág </w:t>
    </w:r>
    <w:r w:rsidRPr="00092499">
      <w:rPr>
        <w:rFonts w:ascii="Tahoma" w:hAnsi="Tahoma" w:cs="Tahoma"/>
        <w:b/>
        <w:sz w:val="16"/>
        <w:szCs w:val="16"/>
      </w:rPr>
      <w:fldChar w:fldCharType="begin"/>
    </w:r>
    <w:r w:rsidRPr="00092499">
      <w:rPr>
        <w:rFonts w:ascii="Tahoma" w:hAnsi="Tahoma" w:cs="Tahoma"/>
        <w:b/>
        <w:sz w:val="16"/>
        <w:szCs w:val="16"/>
      </w:rPr>
      <w:instrText>PAGE   \* MERGEFORMAT</w:instrText>
    </w:r>
    <w:r w:rsidRPr="00092499">
      <w:rPr>
        <w:rFonts w:ascii="Tahoma" w:hAnsi="Tahoma" w:cs="Tahoma"/>
        <w:b/>
        <w:sz w:val="16"/>
        <w:szCs w:val="16"/>
      </w:rPr>
      <w:fldChar w:fldCharType="separate"/>
    </w:r>
    <w:r w:rsidR="004A00E7" w:rsidRPr="004A00E7">
      <w:rPr>
        <w:rFonts w:ascii="Tahoma" w:hAnsi="Tahoma" w:cs="Tahoma"/>
        <w:b/>
        <w:noProof/>
        <w:sz w:val="16"/>
        <w:szCs w:val="16"/>
        <w:lang w:val="es-ES"/>
      </w:rPr>
      <w:t>4</w:t>
    </w:r>
    <w:r w:rsidRPr="00092499">
      <w:rPr>
        <w:rFonts w:ascii="Tahoma" w:hAnsi="Tahoma" w:cs="Tahoma"/>
        <w:b/>
        <w:sz w:val="16"/>
        <w:szCs w:val="16"/>
      </w:rPr>
      <w:fldChar w:fldCharType="end"/>
    </w:r>
    <w:r>
      <w:rPr>
        <w:rFonts w:ascii="Tahoma" w:hAnsi="Tahoma" w:cs="Tahoma"/>
        <w:b/>
        <w:sz w:val="16"/>
        <w:szCs w:val="16"/>
      </w:rPr>
      <w:t xml:space="preserve"> de </w:t>
    </w:r>
    <w:r>
      <w:rPr>
        <w:rFonts w:ascii="Tahoma" w:hAnsi="Tahoma" w:cs="Tahoma"/>
        <w:b/>
        <w:sz w:val="16"/>
        <w:szCs w:val="16"/>
        <w:lang w:val="es-AR"/>
      </w:rPr>
      <w:t>4</w:t>
    </w:r>
  </w:p>
  <w:p w:rsidR="00B63CFA" w:rsidRPr="00092499" w:rsidRDefault="00B63CFA" w:rsidP="00092499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CFA" w:rsidRDefault="00B63CFA">
      <w:r>
        <w:separator/>
      </w:r>
    </w:p>
  </w:footnote>
  <w:footnote w:type="continuationSeparator" w:id="0">
    <w:p w:rsidR="00B63CFA" w:rsidRDefault="00B6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FA" w:rsidRDefault="00B63CFA" w:rsidP="00F80D9B">
    <w:pPr>
      <w:pStyle w:val="Encabezado"/>
      <w:ind w:left="-1260"/>
    </w:pPr>
    <w:r>
      <w:rPr>
        <w:noProof/>
        <w:lang w:eastAsia="es-AR"/>
      </w:rPr>
      <w:drawing>
        <wp:anchor distT="0" distB="0" distL="114300" distR="114300" simplePos="0" relativeHeight="251657728" behindDoc="1" locked="0" layoutInCell="1" allowOverlap="1" wp14:anchorId="13A3E10F" wp14:editId="10FDB2C7">
          <wp:simplePos x="0" y="0"/>
          <wp:positionH relativeFrom="column">
            <wp:posOffset>-553720</wp:posOffset>
          </wp:positionH>
          <wp:positionV relativeFrom="paragraph">
            <wp:posOffset>264160</wp:posOffset>
          </wp:positionV>
          <wp:extent cx="1727835" cy="518160"/>
          <wp:effectExtent l="0" t="0" r="571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E53"/>
    <w:multiLevelType w:val="hybridMultilevel"/>
    <w:tmpl w:val="5B32FC6E"/>
    <w:lvl w:ilvl="0" w:tplc="C7382CA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E51359"/>
    <w:multiLevelType w:val="hybridMultilevel"/>
    <w:tmpl w:val="74C8AB9C"/>
    <w:lvl w:ilvl="0" w:tplc="97EE1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F5BD6"/>
    <w:multiLevelType w:val="hybridMultilevel"/>
    <w:tmpl w:val="74C8AB9C"/>
    <w:lvl w:ilvl="0" w:tplc="97EE10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43311"/>
    <w:multiLevelType w:val="hybridMultilevel"/>
    <w:tmpl w:val="9522B00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F82319"/>
    <w:multiLevelType w:val="hybridMultilevel"/>
    <w:tmpl w:val="7B141314"/>
    <w:lvl w:ilvl="0" w:tplc="F8766712">
      <w:start w:val="1"/>
      <w:numFmt w:val="decimal"/>
      <w:lvlText w:val="(%1)"/>
      <w:lvlJc w:val="left"/>
      <w:pPr>
        <w:ind w:left="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31" w:hanging="360"/>
      </w:pPr>
    </w:lvl>
    <w:lvl w:ilvl="2" w:tplc="2C0A001B" w:tentative="1">
      <w:start w:val="1"/>
      <w:numFmt w:val="lowerRoman"/>
      <w:lvlText w:val="%3."/>
      <w:lvlJc w:val="right"/>
      <w:pPr>
        <w:ind w:left="1451" w:hanging="180"/>
      </w:pPr>
    </w:lvl>
    <w:lvl w:ilvl="3" w:tplc="2C0A000F" w:tentative="1">
      <w:start w:val="1"/>
      <w:numFmt w:val="decimal"/>
      <w:lvlText w:val="%4."/>
      <w:lvlJc w:val="left"/>
      <w:pPr>
        <w:ind w:left="2171" w:hanging="360"/>
      </w:pPr>
    </w:lvl>
    <w:lvl w:ilvl="4" w:tplc="2C0A0019" w:tentative="1">
      <w:start w:val="1"/>
      <w:numFmt w:val="lowerLetter"/>
      <w:lvlText w:val="%5."/>
      <w:lvlJc w:val="left"/>
      <w:pPr>
        <w:ind w:left="2891" w:hanging="360"/>
      </w:pPr>
    </w:lvl>
    <w:lvl w:ilvl="5" w:tplc="2C0A001B" w:tentative="1">
      <w:start w:val="1"/>
      <w:numFmt w:val="lowerRoman"/>
      <w:lvlText w:val="%6."/>
      <w:lvlJc w:val="right"/>
      <w:pPr>
        <w:ind w:left="3611" w:hanging="180"/>
      </w:pPr>
    </w:lvl>
    <w:lvl w:ilvl="6" w:tplc="2C0A000F" w:tentative="1">
      <w:start w:val="1"/>
      <w:numFmt w:val="decimal"/>
      <w:lvlText w:val="%7."/>
      <w:lvlJc w:val="left"/>
      <w:pPr>
        <w:ind w:left="4331" w:hanging="360"/>
      </w:pPr>
    </w:lvl>
    <w:lvl w:ilvl="7" w:tplc="2C0A0019" w:tentative="1">
      <w:start w:val="1"/>
      <w:numFmt w:val="lowerLetter"/>
      <w:lvlText w:val="%8."/>
      <w:lvlJc w:val="left"/>
      <w:pPr>
        <w:ind w:left="5051" w:hanging="360"/>
      </w:pPr>
    </w:lvl>
    <w:lvl w:ilvl="8" w:tplc="2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6C4562EE"/>
    <w:multiLevelType w:val="hybridMultilevel"/>
    <w:tmpl w:val="7BB8A6F4"/>
    <w:lvl w:ilvl="0" w:tplc="DB12D0D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vT8RqlfPPVnjanC4AZlKQ3L4nfokbdJN51EfVNxHgk39zfWsdZP8HdkFwCPkcHdPACQsNxSzeQP/igHW/lqg==" w:salt="y9l9a82J0SCrJnJDZXcRJw==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75"/>
    <w:rsid w:val="00000B60"/>
    <w:rsid w:val="0000145B"/>
    <w:rsid w:val="00002C7E"/>
    <w:rsid w:val="000040A5"/>
    <w:rsid w:val="00005387"/>
    <w:rsid w:val="00005C88"/>
    <w:rsid w:val="00006518"/>
    <w:rsid w:val="0000712F"/>
    <w:rsid w:val="0001090C"/>
    <w:rsid w:val="00011DC3"/>
    <w:rsid w:val="0001317A"/>
    <w:rsid w:val="0001407E"/>
    <w:rsid w:val="00015DE8"/>
    <w:rsid w:val="00020443"/>
    <w:rsid w:val="00021ED9"/>
    <w:rsid w:val="000228A3"/>
    <w:rsid w:val="00022DAC"/>
    <w:rsid w:val="0002339E"/>
    <w:rsid w:val="000244D7"/>
    <w:rsid w:val="0002463A"/>
    <w:rsid w:val="00025E2E"/>
    <w:rsid w:val="00025E80"/>
    <w:rsid w:val="000300FD"/>
    <w:rsid w:val="000305A4"/>
    <w:rsid w:val="000305B2"/>
    <w:rsid w:val="000306C8"/>
    <w:rsid w:val="00030A76"/>
    <w:rsid w:val="000318CD"/>
    <w:rsid w:val="00031CFE"/>
    <w:rsid w:val="00031DC1"/>
    <w:rsid w:val="000327C7"/>
    <w:rsid w:val="000351F9"/>
    <w:rsid w:val="000352B1"/>
    <w:rsid w:val="00035995"/>
    <w:rsid w:val="000359CC"/>
    <w:rsid w:val="00036241"/>
    <w:rsid w:val="000372FF"/>
    <w:rsid w:val="0003769C"/>
    <w:rsid w:val="00037976"/>
    <w:rsid w:val="0004108E"/>
    <w:rsid w:val="00043282"/>
    <w:rsid w:val="000440BF"/>
    <w:rsid w:val="000517A0"/>
    <w:rsid w:val="00053668"/>
    <w:rsid w:val="00053B44"/>
    <w:rsid w:val="00053FB3"/>
    <w:rsid w:val="0005522F"/>
    <w:rsid w:val="00056954"/>
    <w:rsid w:val="00056FE4"/>
    <w:rsid w:val="00057546"/>
    <w:rsid w:val="000575CC"/>
    <w:rsid w:val="000605D8"/>
    <w:rsid w:val="000607DD"/>
    <w:rsid w:val="00061D04"/>
    <w:rsid w:val="00062F09"/>
    <w:rsid w:val="00063C1D"/>
    <w:rsid w:val="0006551A"/>
    <w:rsid w:val="00065E22"/>
    <w:rsid w:val="0006624F"/>
    <w:rsid w:val="000662BC"/>
    <w:rsid w:val="00067683"/>
    <w:rsid w:val="00071B36"/>
    <w:rsid w:val="000726B6"/>
    <w:rsid w:val="00074FBE"/>
    <w:rsid w:val="000767B4"/>
    <w:rsid w:val="0008160E"/>
    <w:rsid w:val="000824B1"/>
    <w:rsid w:val="00084AFE"/>
    <w:rsid w:val="00085E79"/>
    <w:rsid w:val="0008656F"/>
    <w:rsid w:val="000867E6"/>
    <w:rsid w:val="000869A0"/>
    <w:rsid w:val="000872FC"/>
    <w:rsid w:val="0009060C"/>
    <w:rsid w:val="00090BED"/>
    <w:rsid w:val="00090E27"/>
    <w:rsid w:val="00092499"/>
    <w:rsid w:val="000928CB"/>
    <w:rsid w:val="000939EF"/>
    <w:rsid w:val="0009489B"/>
    <w:rsid w:val="0009799A"/>
    <w:rsid w:val="000A16D9"/>
    <w:rsid w:val="000A26BA"/>
    <w:rsid w:val="000A27D2"/>
    <w:rsid w:val="000A2AA8"/>
    <w:rsid w:val="000A4C84"/>
    <w:rsid w:val="000A5C8D"/>
    <w:rsid w:val="000A7755"/>
    <w:rsid w:val="000A7C0D"/>
    <w:rsid w:val="000B01D8"/>
    <w:rsid w:val="000B1C88"/>
    <w:rsid w:val="000B575E"/>
    <w:rsid w:val="000B6151"/>
    <w:rsid w:val="000B6264"/>
    <w:rsid w:val="000B7A6C"/>
    <w:rsid w:val="000C0D9A"/>
    <w:rsid w:val="000C1A02"/>
    <w:rsid w:val="000C20D3"/>
    <w:rsid w:val="000C33AA"/>
    <w:rsid w:val="000C40B6"/>
    <w:rsid w:val="000C4431"/>
    <w:rsid w:val="000C4D8D"/>
    <w:rsid w:val="000C55A0"/>
    <w:rsid w:val="000C5F5F"/>
    <w:rsid w:val="000C699E"/>
    <w:rsid w:val="000C6AF3"/>
    <w:rsid w:val="000D08E8"/>
    <w:rsid w:val="000D11A8"/>
    <w:rsid w:val="000D4BC1"/>
    <w:rsid w:val="000D4DA9"/>
    <w:rsid w:val="000D5D3E"/>
    <w:rsid w:val="000D6C49"/>
    <w:rsid w:val="000D74CD"/>
    <w:rsid w:val="000D77B4"/>
    <w:rsid w:val="000E6E68"/>
    <w:rsid w:val="000E7838"/>
    <w:rsid w:val="000E7D31"/>
    <w:rsid w:val="000F0318"/>
    <w:rsid w:val="000F0DDA"/>
    <w:rsid w:val="000F2853"/>
    <w:rsid w:val="000F3115"/>
    <w:rsid w:val="0010089D"/>
    <w:rsid w:val="001016C3"/>
    <w:rsid w:val="00102B68"/>
    <w:rsid w:val="00103243"/>
    <w:rsid w:val="00104356"/>
    <w:rsid w:val="001043D1"/>
    <w:rsid w:val="00104F23"/>
    <w:rsid w:val="001050A5"/>
    <w:rsid w:val="001056E1"/>
    <w:rsid w:val="001062D1"/>
    <w:rsid w:val="00106C05"/>
    <w:rsid w:val="00106E1F"/>
    <w:rsid w:val="00110D22"/>
    <w:rsid w:val="00110DAB"/>
    <w:rsid w:val="001118AD"/>
    <w:rsid w:val="00112375"/>
    <w:rsid w:val="00113DA3"/>
    <w:rsid w:val="00115EC3"/>
    <w:rsid w:val="00116653"/>
    <w:rsid w:val="00116BBF"/>
    <w:rsid w:val="00117614"/>
    <w:rsid w:val="0011779A"/>
    <w:rsid w:val="001209B9"/>
    <w:rsid w:val="00120FE0"/>
    <w:rsid w:val="001215DD"/>
    <w:rsid w:val="0012216A"/>
    <w:rsid w:val="00123FE4"/>
    <w:rsid w:val="00126926"/>
    <w:rsid w:val="00131A31"/>
    <w:rsid w:val="001320FD"/>
    <w:rsid w:val="00132163"/>
    <w:rsid w:val="00133235"/>
    <w:rsid w:val="00137326"/>
    <w:rsid w:val="00140712"/>
    <w:rsid w:val="00140B1B"/>
    <w:rsid w:val="00140EFA"/>
    <w:rsid w:val="00141753"/>
    <w:rsid w:val="00141EE1"/>
    <w:rsid w:val="0014231D"/>
    <w:rsid w:val="001439FB"/>
    <w:rsid w:val="00144401"/>
    <w:rsid w:val="00144494"/>
    <w:rsid w:val="0014504F"/>
    <w:rsid w:val="001559D9"/>
    <w:rsid w:val="001561CD"/>
    <w:rsid w:val="0015662F"/>
    <w:rsid w:val="00157621"/>
    <w:rsid w:val="00163630"/>
    <w:rsid w:val="001653E0"/>
    <w:rsid w:val="00165C54"/>
    <w:rsid w:val="00166418"/>
    <w:rsid w:val="001668E6"/>
    <w:rsid w:val="00167F6F"/>
    <w:rsid w:val="00170545"/>
    <w:rsid w:val="00170A7D"/>
    <w:rsid w:val="0017106A"/>
    <w:rsid w:val="00171ACA"/>
    <w:rsid w:val="00171DB1"/>
    <w:rsid w:val="00172DD5"/>
    <w:rsid w:val="0017435A"/>
    <w:rsid w:val="0017498F"/>
    <w:rsid w:val="00174B31"/>
    <w:rsid w:val="00174F16"/>
    <w:rsid w:val="00180021"/>
    <w:rsid w:val="00181644"/>
    <w:rsid w:val="001831DA"/>
    <w:rsid w:val="0018332A"/>
    <w:rsid w:val="001876D1"/>
    <w:rsid w:val="001902AE"/>
    <w:rsid w:val="0019126C"/>
    <w:rsid w:val="001921BB"/>
    <w:rsid w:val="001923D5"/>
    <w:rsid w:val="00192833"/>
    <w:rsid w:val="00196F49"/>
    <w:rsid w:val="001A14E5"/>
    <w:rsid w:val="001A1F14"/>
    <w:rsid w:val="001A24AD"/>
    <w:rsid w:val="001A38E9"/>
    <w:rsid w:val="001A4362"/>
    <w:rsid w:val="001A464B"/>
    <w:rsid w:val="001A4923"/>
    <w:rsid w:val="001A51FD"/>
    <w:rsid w:val="001A529E"/>
    <w:rsid w:val="001A5685"/>
    <w:rsid w:val="001A6016"/>
    <w:rsid w:val="001A6794"/>
    <w:rsid w:val="001A7EF4"/>
    <w:rsid w:val="001B0DE3"/>
    <w:rsid w:val="001B3B19"/>
    <w:rsid w:val="001B4E8D"/>
    <w:rsid w:val="001B5F05"/>
    <w:rsid w:val="001C1D1C"/>
    <w:rsid w:val="001C1D5C"/>
    <w:rsid w:val="001C4FC2"/>
    <w:rsid w:val="001C6C59"/>
    <w:rsid w:val="001C7A9E"/>
    <w:rsid w:val="001C7B72"/>
    <w:rsid w:val="001D1F7F"/>
    <w:rsid w:val="001D307D"/>
    <w:rsid w:val="001D3D52"/>
    <w:rsid w:val="001D5674"/>
    <w:rsid w:val="001E0773"/>
    <w:rsid w:val="001E1C29"/>
    <w:rsid w:val="001E3A99"/>
    <w:rsid w:val="001E4A4C"/>
    <w:rsid w:val="001E504B"/>
    <w:rsid w:val="001E57E3"/>
    <w:rsid w:val="001E581A"/>
    <w:rsid w:val="001E78F6"/>
    <w:rsid w:val="001F226F"/>
    <w:rsid w:val="001F25D6"/>
    <w:rsid w:val="001F2AAE"/>
    <w:rsid w:val="001F2DC3"/>
    <w:rsid w:val="001F334D"/>
    <w:rsid w:val="001F34B1"/>
    <w:rsid w:val="001F38E2"/>
    <w:rsid w:val="001F414D"/>
    <w:rsid w:val="001F4456"/>
    <w:rsid w:val="001F48E6"/>
    <w:rsid w:val="001F520F"/>
    <w:rsid w:val="001F5296"/>
    <w:rsid w:val="001F7B0A"/>
    <w:rsid w:val="00200B0B"/>
    <w:rsid w:val="00200EB5"/>
    <w:rsid w:val="0020179F"/>
    <w:rsid w:val="00203B1F"/>
    <w:rsid w:val="00204A75"/>
    <w:rsid w:val="00205317"/>
    <w:rsid w:val="00206FEF"/>
    <w:rsid w:val="00207616"/>
    <w:rsid w:val="00210AB4"/>
    <w:rsid w:val="00210D2E"/>
    <w:rsid w:val="00211D32"/>
    <w:rsid w:val="00212604"/>
    <w:rsid w:val="00212FA4"/>
    <w:rsid w:val="0021374B"/>
    <w:rsid w:val="002200AF"/>
    <w:rsid w:val="00220B93"/>
    <w:rsid w:val="00220ED6"/>
    <w:rsid w:val="0022373B"/>
    <w:rsid w:val="002241D8"/>
    <w:rsid w:val="0022505F"/>
    <w:rsid w:val="00225455"/>
    <w:rsid w:val="002264F7"/>
    <w:rsid w:val="002266ED"/>
    <w:rsid w:val="00226BCC"/>
    <w:rsid w:val="002270AA"/>
    <w:rsid w:val="002300C5"/>
    <w:rsid w:val="00230750"/>
    <w:rsid w:val="00230D68"/>
    <w:rsid w:val="00231DB1"/>
    <w:rsid w:val="00232783"/>
    <w:rsid w:val="00237020"/>
    <w:rsid w:val="002371DF"/>
    <w:rsid w:val="00237B82"/>
    <w:rsid w:val="00241183"/>
    <w:rsid w:val="00243E5C"/>
    <w:rsid w:val="0024590C"/>
    <w:rsid w:val="00245ED4"/>
    <w:rsid w:val="002503BF"/>
    <w:rsid w:val="0025064B"/>
    <w:rsid w:val="00252526"/>
    <w:rsid w:val="00253E12"/>
    <w:rsid w:val="002568E5"/>
    <w:rsid w:val="00256C58"/>
    <w:rsid w:val="00256CD4"/>
    <w:rsid w:val="002572D4"/>
    <w:rsid w:val="00260134"/>
    <w:rsid w:val="002601CB"/>
    <w:rsid w:val="0026106C"/>
    <w:rsid w:val="0026598D"/>
    <w:rsid w:val="00266781"/>
    <w:rsid w:val="002720D0"/>
    <w:rsid w:val="0027460F"/>
    <w:rsid w:val="00274AB1"/>
    <w:rsid w:val="00274FEE"/>
    <w:rsid w:val="0027580F"/>
    <w:rsid w:val="00275837"/>
    <w:rsid w:val="00281967"/>
    <w:rsid w:val="0028646B"/>
    <w:rsid w:val="00287964"/>
    <w:rsid w:val="00291CFB"/>
    <w:rsid w:val="00291EA2"/>
    <w:rsid w:val="00293FDE"/>
    <w:rsid w:val="002942CE"/>
    <w:rsid w:val="0029566E"/>
    <w:rsid w:val="002A1650"/>
    <w:rsid w:val="002A1C86"/>
    <w:rsid w:val="002A52FB"/>
    <w:rsid w:val="002A57EC"/>
    <w:rsid w:val="002A5A22"/>
    <w:rsid w:val="002A7235"/>
    <w:rsid w:val="002A78DD"/>
    <w:rsid w:val="002A7D0C"/>
    <w:rsid w:val="002B1539"/>
    <w:rsid w:val="002B1F0A"/>
    <w:rsid w:val="002B2536"/>
    <w:rsid w:val="002B3823"/>
    <w:rsid w:val="002B390C"/>
    <w:rsid w:val="002B40B3"/>
    <w:rsid w:val="002B4D45"/>
    <w:rsid w:val="002B69DD"/>
    <w:rsid w:val="002B7413"/>
    <w:rsid w:val="002B7D4E"/>
    <w:rsid w:val="002C041F"/>
    <w:rsid w:val="002C20F7"/>
    <w:rsid w:val="002C32B9"/>
    <w:rsid w:val="002C3B03"/>
    <w:rsid w:val="002C3DBC"/>
    <w:rsid w:val="002C5FAB"/>
    <w:rsid w:val="002D03CC"/>
    <w:rsid w:val="002D138D"/>
    <w:rsid w:val="002D1F8D"/>
    <w:rsid w:val="002D55EA"/>
    <w:rsid w:val="002D5C1B"/>
    <w:rsid w:val="002D5C68"/>
    <w:rsid w:val="002D6930"/>
    <w:rsid w:val="002D7A97"/>
    <w:rsid w:val="002E1D87"/>
    <w:rsid w:val="002E2623"/>
    <w:rsid w:val="002E4E9B"/>
    <w:rsid w:val="002E6215"/>
    <w:rsid w:val="002E6339"/>
    <w:rsid w:val="002F0B6E"/>
    <w:rsid w:val="002F0EB4"/>
    <w:rsid w:val="002F10E5"/>
    <w:rsid w:val="002F36D0"/>
    <w:rsid w:val="002F4522"/>
    <w:rsid w:val="002F6B0F"/>
    <w:rsid w:val="002F758D"/>
    <w:rsid w:val="003006AB"/>
    <w:rsid w:val="00300773"/>
    <w:rsid w:val="00301306"/>
    <w:rsid w:val="00301AC6"/>
    <w:rsid w:val="003034B6"/>
    <w:rsid w:val="00305777"/>
    <w:rsid w:val="00305D9B"/>
    <w:rsid w:val="00306AD5"/>
    <w:rsid w:val="00307068"/>
    <w:rsid w:val="003072B7"/>
    <w:rsid w:val="00307F84"/>
    <w:rsid w:val="00310686"/>
    <w:rsid w:val="003149FF"/>
    <w:rsid w:val="003178A5"/>
    <w:rsid w:val="00317B6C"/>
    <w:rsid w:val="00317F44"/>
    <w:rsid w:val="0032039D"/>
    <w:rsid w:val="00320E2A"/>
    <w:rsid w:val="003222B1"/>
    <w:rsid w:val="00323656"/>
    <w:rsid w:val="003240BD"/>
    <w:rsid w:val="00325144"/>
    <w:rsid w:val="00332410"/>
    <w:rsid w:val="00333245"/>
    <w:rsid w:val="0033373F"/>
    <w:rsid w:val="0033412D"/>
    <w:rsid w:val="00334963"/>
    <w:rsid w:val="0033610A"/>
    <w:rsid w:val="00340873"/>
    <w:rsid w:val="00341223"/>
    <w:rsid w:val="00342235"/>
    <w:rsid w:val="003425C3"/>
    <w:rsid w:val="00342862"/>
    <w:rsid w:val="00343C98"/>
    <w:rsid w:val="00343DBB"/>
    <w:rsid w:val="00344CF7"/>
    <w:rsid w:val="00346BD0"/>
    <w:rsid w:val="0034733F"/>
    <w:rsid w:val="0034775F"/>
    <w:rsid w:val="00347D51"/>
    <w:rsid w:val="00350244"/>
    <w:rsid w:val="00351D46"/>
    <w:rsid w:val="003524C7"/>
    <w:rsid w:val="0035338D"/>
    <w:rsid w:val="003536E0"/>
    <w:rsid w:val="00354F2B"/>
    <w:rsid w:val="00355F4E"/>
    <w:rsid w:val="00357348"/>
    <w:rsid w:val="0036156C"/>
    <w:rsid w:val="003616A9"/>
    <w:rsid w:val="0036281D"/>
    <w:rsid w:val="0036371E"/>
    <w:rsid w:val="00363A4E"/>
    <w:rsid w:val="00363CD4"/>
    <w:rsid w:val="00365767"/>
    <w:rsid w:val="003660FE"/>
    <w:rsid w:val="0037182B"/>
    <w:rsid w:val="003729ED"/>
    <w:rsid w:val="0037326B"/>
    <w:rsid w:val="003737E0"/>
    <w:rsid w:val="00374580"/>
    <w:rsid w:val="00374977"/>
    <w:rsid w:val="003753DC"/>
    <w:rsid w:val="00377959"/>
    <w:rsid w:val="00377A32"/>
    <w:rsid w:val="00377ED8"/>
    <w:rsid w:val="00377F62"/>
    <w:rsid w:val="00381B80"/>
    <w:rsid w:val="00383A65"/>
    <w:rsid w:val="0038492A"/>
    <w:rsid w:val="00386E4D"/>
    <w:rsid w:val="00391E52"/>
    <w:rsid w:val="00392210"/>
    <w:rsid w:val="003923EB"/>
    <w:rsid w:val="003924AC"/>
    <w:rsid w:val="0039308A"/>
    <w:rsid w:val="0039523C"/>
    <w:rsid w:val="0039524D"/>
    <w:rsid w:val="0039562C"/>
    <w:rsid w:val="003A156B"/>
    <w:rsid w:val="003A2D2B"/>
    <w:rsid w:val="003A5622"/>
    <w:rsid w:val="003A5746"/>
    <w:rsid w:val="003A68C5"/>
    <w:rsid w:val="003A7FDD"/>
    <w:rsid w:val="003B0B14"/>
    <w:rsid w:val="003B2146"/>
    <w:rsid w:val="003B6033"/>
    <w:rsid w:val="003B7825"/>
    <w:rsid w:val="003C1466"/>
    <w:rsid w:val="003C471F"/>
    <w:rsid w:val="003C5BEC"/>
    <w:rsid w:val="003C7A04"/>
    <w:rsid w:val="003C7FA8"/>
    <w:rsid w:val="003D0A6E"/>
    <w:rsid w:val="003D1484"/>
    <w:rsid w:val="003D2E1F"/>
    <w:rsid w:val="003D3633"/>
    <w:rsid w:val="003D42BA"/>
    <w:rsid w:val="003D6FAF"/>
    <w:rsid w:val="003D7E58"/>
    <w:rsid w:val="003E0F4E"/>
    <w:rsid w:val="003E122C"/>
    <w:rsid w:val="003E1951"/>
    <w:rsid w:val="003E1A84"/>
    <w:rsid w:val="003E1AF2"/>
    <w:rsid w:val="003E4092"/>
    <w:rsid w:val="003E4CB9"/>
    <w:rsid w:val="003E6E3D"/>
    <w:rsid w:val="003E7CAC"/>
    <w:rsid w:val="003F2D35"/>
    <w:rsid w:val="003F3624"/>
    <w:rsid w:val="003F3E30"/>
    <w:rsid w:val="003F40FA"/>
    <w:rsid w:val="003F4586"/>
    <w:rsid w:val="003F7079"/>
    <w:rsid w:val="00401833"/>
    <w:rsid w:val="00401D38"/>
    <w:rsid w:val="004024BA"/>
    <w:rsid w:val="0040291C"/>
    <w:rsid w:val="00403972"/>
    <w:rsid w:val="00403E76"/>
    <w:rsid w:val="004041B2"/>
    <w:rsid w:val="00405BBD"/>
    <w:rsid w:val="0040614F"/>
    <w:rsid w:val="00407DCB"/>
    <w:rsid w:val="00410D85"/>
    <w:rsid w:val="004133AB"/>
    <w:rsid w:val="00413512"/>
    <w:rsid w:val="00413C0A"/>
    <w:rsid w:val="00413F68"/>
    <w:rsid w:val="004145A8"/>
    <w:rsid w:val="004162E1"/>
    <w:rsid w:val="00421050"/>
    <w:rsid w:val="00421D13"/>
    <w:rsid w:val="00422FE2"/>
    <w:rsid w:val="004260B9"/>
    <w:rsid w:val="00426BC5"/>
    <w:rsid w:val="00427A60"/>
    <w:rsid w:val="00427B25"/>
    <w:rsid w:val="0043093C"/>
    <w:rsid w:val="00430C61"/>
    <w:rsid w:val="00431C88"/>
    <w:rsid w:val="00433109"/>
    <w:rsid w:val="00434338"/>
    <w:rsid w:val="00434B6E"/>
    <w:rsid w:val="00435ABE"/>
    <w:rsid w:val="00435F32"/>
    <w:rsid w:val="004361C6"/>
    <w:rsid w:val="00436602"/>
    <w:rsid w:val="00440381"/>
    <w:rsid w:val="00441889"/>
    <w:rsid w:val="00442346"/>
    <w:rsid w:val="0044370D"/>
    <w:rsid w:val="00443E5F"/>
    <w:rsid w:val="004449D5"/>
    <w:rsid w:val="00444CFA"/>
    <w:rsid w:val="00445E38"/>
    <w:rsid w:val="00451A02"/>
    <w:rsid w:val="00451B67"/>
    <w:rsid w:val="00452DB7"/>
    <w:rsid w:val="00452E94"/>
    <w:rsid w:val="00453263"/>
    <w:rsid w:val="0045386C"/>
    <w:rsid w:val="00456B44"/>
    <w:rsid w:val="00457353"/>
    <w:rsid w:val="0045769D"/>
    <w:rsid w:val="0046158B"/>
    <w:rsid w:val="00461A91"/>
    <w:rsid w:val="00461C6C"/>
    <w:rsid w:val="0046210D"/>
    <w:rsid w:val="0046242F"/>
    <w:rsid w:val="00462CD0"/>
    <w:rsid w:val="00463758"/>
    <w:rsid w:val="00465742"/>
    <w:rsid w:val="00466448"/>
    <w:rsid w:val="004702A8"/>
    <w:rsid w:val="004718A1"/>
    <w:rsid w:val="00471F30"/>
    <w:rsid w:val="004734E9"/>
    <w:rsid w:val="00473A26"/>
    <w:rsid w:val="00473B5B"/>
    <w:rsid w:val="00474D54"/>
    <w:rsid w:val="00475016"/>
    <w:rsid w:val="004762E0"/>
    <w:rsid w:val="004768BB"/>
    <w:rsid w:val="00476F5D"/>
    <w:rsid w:val="004772B3"/>
    <w:rsid w:val="00477ACA"/>
    <w:rsid w:val="004808FF"/>
    <w:rsid w:val="00481025"/>
    <w:rsid w:val="0048205E"/>
    <w:rsid w:val="00484F9D"/>
    <w:rsid w:val="004851D1"/>
    <w:rsid w:val="0049167B"/>
    <w:rsid w:val="0049218E"/>
    <w:rsid w:val="0049263D"/>
    <w:rsid w:val="00493983"/>
    <w:rsid w:val="00494878"/>
    <w:rsid w:val="004954C5"/>
    <w:rsid w:val="004957DF"/>
    <w:rsid w:val="004A00E7"/>
    <w:rsid w:val="004A1F2F"/>
    <w:rsid w:val="004A2A3E"/>
    <w:rsid w:val="004A2E59"/>
    <w:rsid w:val="004A4F99"/>
    <w:rsid w:val="004A562A"/>
    <w:rsid w:val="004A5C0E"/>
    <w:rsid w:val="004A6F12"/>
    <w:rsid w:val="004A72BC"/>
    <w:rsid w:val="004A7531"/>
    <w:rsid w:val="004B076E"/>
    <w:rsid w:val="004B0CA6"/>
    <w:rsid w:val="004B1262"/>
    <w:rsid w:val="004B1E08"/>
    <w:rsid w:val="004B20A8"/>
    <w:rsid w:val="004B24B8"/>
    <w:rsid w:val="004B43B0"/>
    <w:rsid w:val="004B45D0"/>
    <w:rsid w:val="004B4D3E"/>
    <w:rsid w:val="004B5B0A"/>
    <w:rsid w:val="004B6EED"/>
    <w:rsid w:val="004C1AF7"/>
    <w:rsid w:val="004C309F"/>
    <w:rsid w:val="004C37E9"/>
    <w:rsid w:val="004C4311"/>
    <w:rsid w:val="004C56BF"/>
    <w:rsid w:val="004C7396"/>
    <w:rsid w:val="004C7D78"/>
    <w:rsid w:val="004D0D8A"/>
    <w:rsid w:val="004D11B5"/>
    <w:rsid w:val="004D14EB"/>
    <w:rsid w:val="004D183E"/>
    <w:rsid w:val="004D1871"/>
    <w:rsid w:val="004D2822"/>
    <w:rsid w:val="004D3347"/>
    <w:rsid w:val="004D47EB"/>
    <w:rsid w:val="004D496E"/>
    <w:rsid w:val="004D57BB"/>
    <w:rsid w:val="004D7145"/>
    <w:rsid w:val="004D7361"/>
    <w:rsid w:val="004D7867"/>
    <w:rsid w:val="004E0EB1"/>
    <w:rsid w:val="004E1048"/>
    <w:rsid w:val="004E1337"/>
    <w:rsid w:val="004E1D49"/>
    <w:rsid w:val="004E243C"/>
    <w:rsid w:val="004E310B"/>
    <w:rsid w:val="004E3665"/>
    <w:rsid w:val="004E3A8D"/>
    <w:rsid w:val="004E3D11"/>
    <w:rsid w:val="004E4508"/>
    <w:rsid w:val="004E4906"/>
    <w:rsid w:val="004E5C2B"/>
    <w:rsid w:val="004E7937"/>
    <w:rsid w:val="004F0030"/>
    <w:rsid w:val="004F01B9"/>
    <w:rsid w:val="004F39E0"/>
    <w:rsid w:val="004F4D51"/>
    <w:rsid w:val="004F56DF"/>
    <w:rsid w:val="004F5E77"/>
    <w:rsid w:val="00500932"/>
    <w:rsid w:val="00500D2B"/>
    <w:rsid w:val="00500FDD"/>
    <w:rsid w:val="00501E37"/>
    <w:rsid w:val="005028A8"/>
    <w:rsid w:val="00510514"/>
    <w:rsid w:val="00510908"/>
    <w:rsid w:val="00511175"/>
    <w:rsid w:val="00511225"/>
    <w:rsid w:val="00515786"/>
    <w:rsid w:val="005175C1"/>
    <w:rsid w:val="00517A69"/>
    <w:rsid w:val="00520D95"/>
    <w:rsid w:val="00523174"/>
    <w:rsid w:val="00525F2A"/>
    <w:rsid w:val="00526FA1"/>
    <w:rsid w:val="00527E06"/>
    <w:rsid w:val="005312A6"/>
    <w:rsid w:val="00532D6B"/>
    <w:rsid w:val="00533FDE"/>
    <w:rsid w:val="00535E86"/>
    <w:rsid w:val="00536482"/>
    <w:rsid w:val="00540457"/>
    <w:rsid w:val="00540684"/>
    <w:rsid w:val="00540EB8"/>
    <w:rsid w:val="0054506F"/>
    <w:rsid w:val="00546DD9"/>
    <w:rsid w:val="005479D9"/>
    <w:rsid w:val="00547AFF"/>
    <w:rsid w:val="005501A5"/>
    <w:rsid w:val="00550405"/>
    <w:rsid w:val="00553856"/>
    <w:rsid w:val="00553C50"/>
    <w:rsid w:val="0055473F"/>
    <w:rsid w:val="00554C1D"/>
    <w:rsid w:val="00554D26"/>
    <w:rsid w:val="00556098"/>
    <w:rsid w:val="00556545"/>
    <w:rsid w:val="00556826"/>
    <w:rsid w:val="0055740F"/>
    <w:rsid w:val="0055753C"/>
    <w:rsid w:val="00560CBA"/>
    <w:rsid w:val="00564006"/>
    <w:rsid w:val="0056430A"/>
    <w:rsid w:val="00564A7D"/>
    <w:rsid w:val="00565A4B"/>
    <w:rsid w:val="005706AA"/>
    <w:rsid w:val="00571E96"/>
    <w:rsid w:val="00572660"/>
    <w:rsid w:val="005726D9"/>
    <w:rsid w:val="00573379"/>
    <w:rsid w:val="00573860"/>
    <w:rsid w:val="00574A90"/>
    <w:rsid w:val="00574C9E"/>
    <w:rsid w:val="005777C4"/>
    <w:rsid w:val="00580C9A"/>
    <w:rsid w:val="00580E7E"/>
    <w:rsid w:val="00583682"/>
    <w:rsid w:val="0058373C"/>
    <w:rsid w:val="005839BB"/>
    <w:rsid w:val="0058521E"/>
    <w:rsid w:val="0058565C"/>
    <w:rsid w:val="00586461"/>
    <w:rsid w:val="0058678F"/>
    <w:rsid w:val="005867B7"/>
    <w:rsid w:val="0059081F"/>
    <w:rsid w:val="005909F1"/>
    <w:rsid w:val="0059193A"/>
    <w:rsid w:val="00594E0E"/>
    <w:rsid w:val="00595F1D"/>
    <w:rsid w:val="00596C47"/>
    <w:rsid w:val="005974D7"/>
    <w:rsid w:val="00597C07"/>
    <w:rsid w:val="005A0304"/>
    <w:rsid w:val="005A2F3F"/>
    <w:rsid w:val="005A4875"/>
    <w:rsid w:val="005A5DB1"/>
    <w:rsid w:val="005A6297"/>
    <w:rsid w:val="005B0332"/>
    <w:rsid w:val="005B1064"/>
    <w:rsid w:val="005B152C"/>
    <w:rsid w:val="005B2E33"/>
    <w:rsid w:val="005B368B"/>
    <w:rsid w:val="005B3751"/>
    <w:rsid w:val="005B3987"/>
    <w:rsid w:val="005B3DFB"/>
    <w:rsid w:val="005B3E8C"/>
    <w:rsid w:val="005B49AA"/>
    <w:rsid w:val="005B51CB"/>
    <w:rsid w:val="005B553A"/>
    <w:rsid w:val="005B56B9"/>
    <w:rsid w:val="005B5950"/>
    <w:rsid w:val="005C0216"/>
    <w:rsid w:val="005C073B"/>
    <w:rsid w:val="005C16CE"/>
    <w:rsid w:val="005C2CC2"/>
    <w:rsid w:val="005C2D94"/>
    <w:rsid w:val="005C3BF4"/>
    <w:rsid w:val="005C4675"/>
    <w:rsid w:val="005C574C"/>
    <w:rsid w:val="005D0622"/>
    <w:rsid w:val="005D320D"/>
    <w:rsid w:val="005D44B3"/>
    <w:rsid w:val="005D595D"/>
    <w:rsid w:val="005D5C35"/>
    <w:rsid w:val="005D6952"/>
    <w:rsid w:val="005D7E6E"/>
    <w:rsid w:val="005E276B"/>
    <w:rsid w:val="005E3348"/>
    <w:rsid w:val="005E4CAF"/>
    <w:rsid w:val="005E5130"/>
    <w:rsid w:val="005E60D1"/>
    <w:rsid w:val="005F0491"/>
    <w:rsid w:val="005F14C0"/>
    <w:rsid w:val="005F1569"/>
    <w:rsid w:val="005F27D7"/>
    <w:rsid w:val="005F328F"/>
    <w:rsid w:val="005F330F"/>
    <w:rsid w:val="005F4CF6"/>
    <w:rsid w:val="005F56E1"/>
    <w:rsid w:val="005F5FD8"/>
    <w:rsid w:val="005F63DF"/>
    <w:rsid w:val="005F714F"/>
    <w:rsid w:val="005F7FE1"/>
    <w:rsid w:val="00602F3A"/>
    <w:rsid w:val="00604BA6"/>
    <w:rsid w:val="00606867"/>
    <w:rsid w:val="00606B67"/>
    <w:rsid w:val="00607649"/>
    <w:rsid w:val="00607C73"/>
    <w:rsid w:val="006100C9"/>
    <w:rsid w:val="0061114B"/>
    <w:rsid w:val="00612ABB"/>
    <w:rsid w:val="006139C6"/>
    <w:rsid w:val="00614FE4"/>
    <w:rsid w:val="00615160"/>
    <w:rsid w:val="00616F28"/>
    <w:rsid w:val="006170D2"/>
    <w:rsid w:val="00621EB6"/>
    <w:rsid w:val="00622C98"/>
    <w:rsid w:val="00623035"/>
    <w:rsid w:val="00625699"/>
    <w:rsid w:val="006260A7"/>
    <w:rsid w:val="006277F7"/>
    <w:rsid w:val="006308F7"/>
    <w:rsid w:val="00631C45"/>
    <w:rsid w:val="00632F5D"/>
    <w:rsid w:val="00633099"/>
    <w:rsid w:val="006339F3"/>
    <w:rsid w:val="00633B24"/>
    <w:rsid w:val="00641E90"/>
    <w:rsid w:val="00643EED"/>
    <w:rsid w:val="00644D43"/>
    <w:rsid w:val="00644F93"/>
    <w:rsid w:val="0064668F"/>
    <w:rsid w:val="006468FA"/>
    <w:rsid w:val="00646A77"/>
    <w:rsid w:val="006475C2"/>
    <w:rsid w:val="00650DB1"/>
    <w:rsid w:val="006518FB"/>
    <w:rsid w:val="00653321"/>
    <w:rsid w:val="00653DE7"/>
    <w:rsid w:val="006541EF"/>
    <w:rsid w:val="00654BCC"/>
    <w:rsid w:val="006555A9"/>
    <w:rsid w:val="00655A3E"/>
    <w:rsid w:val="00656880"/>
    <w:rsid w:val="006610DD"/>
    <w:rsid w:val="00661286"/>
    <w:rsid w:val="006613DF"/>
    <w:rsid w:val="0066209A"/>
    <w:rsid w:val="00663F3A"/>
    <w:rsid w:val="006649E0"/>
    <w:rsid w:val="00664BA3"/>
    <w:rsid w:val="00664D9C"/>
    <w:rsid w:val="0066517A"/>
    <w:rsid w:val="00666529"/>
    <w:rsid w:val="00666E3E"/>
    <w:rsid w:val="00670B3E"/>
    <w:rsid w:val="00670EE4"/>
    <w:rsid w:val="00673373"/>
    <w:rsid w:val="0067459E"/>
    <w:rsid w:val="0067746E"/>
    <w:rsid w:val="00677599"/>
    <w:rsid w:val="00680346"/>
    <w:rsid w:val="00681191"/>
    <w:rsid w:val="006823A6"/>
    <w:rsid w:val="00683DA2"/>
    <w:rsid w:val="0068431E"/>
    <w:rsid w:val="00685659"/>
    <w:rsid w:val="00685B94"/>
    <w:rsid w:val="00686892"/>
    <w:rsid w:val="00691D6C"/>
    <w:rsid w:val="00691E07"/>
    <w:rsid w:val="00693E96"/>
    <w:rsid w:val="00693F35"/>
    <w:rsid w:val="00693F82"/>
    <w:rsid w:val="00694C9B"/>
    <w:rsid w:val="00694F74"/>
    <w:rsid w:val="0069596D"/>
    <w:rsid w:val="00695C20"/>
    <w:rsid w:val="0069758C"/>
    <w:rsid w:val="006A0E3D"/>
    <w:rsid w:val="006A2E38"/>
    <w:rsid w:val="006A40B2"/>
    <w:rsid w:val="006A57EC"/>
    <w:rsid w:val="006A5D95"/>
    <w:rsid w:val="006A77DE"/>
    <w:rsid w:val="006B0D03"/>
    <w:rsid w:val="006B2359"/>
    <w:rsid w:val="006B3032"/>
    <w:rsid w:val="006B458F"/>
    <w:rsid w:val="006B4D91"/>
    <w:rsid w:val="006B5398"/>
    <w:rsid w:val="006B60A9"/>
    <w:rsid w:val="006B7B33"/>
    <w:rsid w:val="006B7F5E"/>
    <w:rsid w:val="006C00A4"/>
    <w:rsid w:val="006C0918"/>
    <w:rsid w:val="006C15EE"/>
    <w:rsid w:val="006C214B"/>
    <w:rsid w:val="006C3119"/>
    <w:rsid w:val="006C3650"/>
    <w:rsid w:val="006C5D46"/>
    <w:rsid w:val="006C5F2B"/>
    <w:rsid w:val="006C620C"/>
    <w:rsid w:val="006C7DDF"/>
    <w:rsid w:val="006C7E47"/>
    <w:rsid w:val="006C7FE4"/>
    <w:rsid w:val="006D0A1F"/>
    <w:rsid w:val="006D2B71"/>
    <w:rsid w:val="006D4314"/>
    <w:rsid w:val="006D4848"/>
    <w:rsid w:val="006D4C49"/>
    <w:rsid w:val="006D7936"/>
    <w:rsid w:val="006E16CB"/>
    <w:rsid w:val="006E1C49"/>
    <w:rsid w:val="006E24D4"/>
    <w:rsid w:val="006E2D19"/>
    <w:rsid w:val="006E2E0F"/>
    <w:rsid w:val="006E3709"/>
    <w:rsid w:val="006E3945"/>
    <w:rsid w:val="006E418E"/>
    <w:rsid w:val="006E4695"/>
    <w:rsid w:val="006E5550"/>
    <w:rsid w:val="006E60AE"/>
    <w:rsid w:val="006E6B84"/>
    <w:rsid w:val="006F001F"/>
    <w:rsid w:val="006F00D1"/>
    <w:rsid w:val="006F0631"/>
    <w:rsid w:val="006F2033"/>
    <w:rsid w:val="006F3885"/>
    <w:rsid w:val="006F3D57"/>
    <w:rsid w:val="006F4326"/>
    <w:rsid w:val="006F4BCF"/>
    <w:rsid w:val="006F4D2C"/>
    <w:rsid w:val="006F6D88"/>
    <w:rsid w:val="006F7158"/>
    <w:rsid w:val="006F7DC0"/>
    <w:rsid w:val="00700BB8"/>
    <w:rsid w:val="007014ED"/>
    <w:rsid w:val="00701C1D"/>
    <w:rsid w:val="00701C40"/>
    <w:rsid w:val="00705754"/>
    <w:rsid w:val="00706923"/>
    <w:rsid w:val="007119C4"/>
    <w:rsid w:val="00712250"/>
    <w:rsid w:val="00712C6E"/>
    <w:rsid w:val="00713405"/>
    <w:rsid w:val="007135BA"/>
    <w:rsid w:val="00713CE0"/>
    <w:rsid w:val="007147DF"/>
    <w:rsid w:val="00715043"/>
    <w:rsid w:val="00716769"/>
    <w:rsid w:val="00717193"/>
    <w:rsid w:val="00721D2D"/>
    <w:rsid w:val="007220A3"/>
    <w:rsid w:val="0072266B"/>
    <w:rsid w:val="00722852"/>
    <w:rsid w:val="007233AA"/>
    <w:rsid w:val="0072367F"/>
    <w:rsid w:val="00724BB1"/>
    <w:rsid w:val="00725A70"/>
    <w:rsid w:val="0072753A"/>
    <w:rsid w:val="00727D3E"/>
    <w:rsid w:val="00727DF8"/>
    <w:rsid w:val="007305F6"/>
    <w:rsid w:val="00732079"/>
    <w:rsid w:val="00733D8F"/>
    <w:rsid w:val="00733FF9"/>
    <w:rsid w:val="007343DF"/>
    <w:rsid w:val="007351B3"/>
    <w:rsid w:val="0073591A"/>
    <w:rsid w:val="00736167"/>
    <w:rsid w:val="00741BD3"/>
    <w:rsid w:val="00742268"/>
    <w:rsid w:val="00743BAD"/>
    <w:rsid w:val="00744FFD"/>
    <w:rsid w:val="0074503F"/>
    <w:rsid w:val="0074513C"/>
    <w:rsid w:val="00745B1D"/>
    <w:rsid w:val="00745E26"/>
    <w:rsid w:val="00746CDC"/>
    <w:rsid w:val="00747156"/>
    <w:rsid w:val="00747637"/>
    <w:rsid w:val="00750429"/>
    <w:rsid w:val="007518E3"/>
    <w:rsid w:val="00751CF7"/>
    <w:rsid w:val="00752D95"/>
    <w:rsid w:val="00752F8B"/>
    <w:rsid w:val="007539F1"/>
    <w:rsid w:val="00756097"/>
    <w:rsid w:val="0075642D"/>
    <w:rsid w:val="007571F1"/>
    <w:rsid w:val="007601EB"/>
    <w:rsid w:val="0076240B"/>
    <w:rsid w:val="00764E01"/>
    <w:rsid w:val="00764E55"/>
    <w:rsid w:val="007652A9"/>
    <w:rsid w:val="0076579F"/>
    <w:rsid w:val="00765975"/>
    <w:rsid w:val="00766AF9"/>
    <w:rsid w:val="007713A1"/>
    <w:rsid w:val="0077237A"/>
    <w:rsid w:val="007739B7"/>
    <w:rsid w:val="00773BE9"/>
    <w:rsid w:val="00774AE3"/>
    <w:rsid w:val="00776E47"/>
    <w:rsid w:val="007807FC"/>
    <w:rsid w:val="00781B53"/>
    <w:rsid w:val="00786680"/>
    <w:rsid w:val="00786868"/>
    <w:rsid w:val="00786C3C"/>
    <w:rsid w:val="00787C04"/>
    <w:rsid w:val="007906A9"/>
    <w:rsid w:val="0079107F"/>
    <w:rsid w:val="00791E88"/>
    <w:rsid w:val="00794F7C"/>
    <w:rsid w:val="00795EBD"/>
    <w:rsid w:val="0079606A"/>
    <w:rsid w:val="00796FBA"/>
    <w:rsid w:val="007A04A8"/>
    <w:rsid w:val="007A0570"/>
    <w:rsid w:val="007A0EF8"/>
    <w:rsid w:val="007A2E80"/>
    <w:rsid w:val="007A3A5F"/>
    <w:rsid w:val="007A5465"/>
    <w:rsid w:val="007A5C94"/>
    <w:rsid w:val="007A692F"/>
    <w:rsid w:val="007B28AB"/>
    <w:rsid w:val="007B2927"/>
    <w:rsid w:val="007B3666"/>
    <w:rsid w:val="007B4A42"/>
    <w:rsid w:val="007B4BEF"/>
    <w:rsid w:val="007B4D02"/>
    <w:rsid w:val="007B61D3"/>
    <w:rsid w:val="007B6492"/>
    <w:rsid w:val="007B66D1"/>
    <w:rsid w:val="007B6CE0"/>
    <w:rsid w:val="007B73AE"/>
    <w:rsid w:val="007B78FA"/>
    <w:rsid w:val="007C4FAB"/>
    <w:rsid w:val="007C54D3"/>
    <w:rsid w:val="007C6D54"/>
    <w:rsid w:val="007D2133"/>
    <w:rsid w:val="007D3765"/>
    <w:rsid w:val="007D5E16"/>
    <w:rsid w:val="007D63A7"/>
    <w:rsid w:val="007D6C98"/>
    <w:rsid w:val="007D7873"/>
    <w:rsid w:val="007D7924"/>
    <w:rsid w:val="007E00FF"/>
    <w:rsid w:val="007E062C"/>
    <w:rsid w:val="007E0E90"/>
    <w:rsid w:val="007E2911"/>
    <w:rsid w:val="007E2D2E"/>
    <w:rsid w:val="007E4E2B"/>
    <w:rsid w:val="007E60A4"/>
    <w:rsid w:val="007E683E"/>
    <w:rsid w:val="007E69C4"/>
    <w:rsid w:val="007E7776"/>
    <w:rsid w:val="007F084E"/>
    <w:rsid w:val="007F0A48"/>
    <w:rsid w:val="007F3336"/>
    <w:rsid w:val="007F4334"/>
    <w:rsid w:val="007F44CE"/>
    <w:rsid w:val="007F5073"/>
    <w:rsid w:val="007F7D85"/>
    <w:rsid w:val="00800087"/>
    <w:rsid w:val="00800520"/>
    <w:rsid w:val="0080179A"/>
    <w:rsid w:val="00802CD4"/>
    <w:rsid w:val="00802DAC"/>
    <w:rsid w:val="00803986"/>
    <w:rsid w:val="0080479B"/>
    <w:rsid w:val="00804DB6"/>
    <w:rsid w:val="00806145"/>
    <w:rsid w:val="008117E3"/>
    <w:rsid w:val="008122BF"/>
    <w:rsid w:val="00812634"/>
    <w:rsid w:val="008129E9"/>
    <w:rsid w:val="00813B35"/>
    <w:rsid w:val="00816401"/>
    <w:rsid w:val="00817F09"/>
    <w:rsid w:val="00820595"/>
    <w:rsid w:val="00821486"/>
    <w:rsid w:val="00821A40"/>
    <w:rsid w:val="00823734"/>
    <w:rsid w:val="0082692D"/>
    <w:rsid w:val="00826C87"/>
    <w:rsid w:val="008277A4"/>
    <w:rsid w:val="00827A7D"/>
    <w:rsid w:val="008310DD"/>
    <w:rsid w:val="00831B4A"/>
    <w:rsid w:val="00832725"/>
    <w:rsid w:val="00835EE1"/>
    <w:rsid w:val="00836D96"/>
    <w:rsid w:val="00837B50"/>
    <w:rsid w:val="00837C7B"/>
    <w:rsid w:val="00837D4F"/>
    <w:rsid w:val="00840475"/>
    <w:rsid w:val="00841FCE"/>
    <w:rsid w:val="00842173"/>
    <w:rsid w:val="008435D0"/>
    <w:rsid w:val="00843A22"/>
    <w:rsid w:val="008452D8"/>
    <w:rsid w:val="0084549C"/>
    <w:rsid w:val="0084560A"/>
    <w:rsid w:val="00845690"/>
    <w:rsid w:val="00846EF0"/>
    <w:rsid w:val="0084739E"/>
    <w:rsid w:val="008502B8"/>
    <w:rsid w:val="008503DB"/>
    <w:rsid w:val="00850C98"/>
    <w:rsid w:val="00851228"/>
    <w:rsid w:val="00851869"/>
    <w:rsid w:val="0085413E"/>
    <w:rsid w:val="00854540"/>
    <w:rsid w:val="008547B6"/>
    <w:rsid w:val="008554E6"/>
    <w:rsid w:val="00857FE9"/>
    <w:rsid w:val="008601ED"/>
    <w:rsid w:val="00860549"/>
    <w:rsid w:val="00861B2C"/>
    <w:rsid w:val="0086265F"/>
    <w:rsid w:val="00864378"/>
    <w:rsid w:val="0086499D"/>
    <w:rsid w:val="00864E4B"/>
    <w:rsid w:val="00867625"/>
    <w:rsid w:val="00867686"/>
    <w:rsid w:val="0087007E"/>
    <w:rsid w:val="00870B70"/>
    <w:rsid w:val="008711E9"/>
    <w:rsid w:val="0087153B"/>
    <w:rsid w:val="00872618"/>
    <w:rsid w:val="008727B9"/>
    <w:rsid w:val="00872DB0"/>
    <w:rsid w:val="00874F02"/>
    <w:rsid w:val="00877A61"/>
    <w:rsid w:val="0088135F"/>
    <w:rsid w:val="00881556"/>
    <w:rsid w:val="008846E6"/>
    <w:rsid w:val="008851F9"/>
    <w:rsid w:val="008853E5"/>
    <w:rsid w:val="00885DD1"/>
    <w:rsid w:val="0088627D"/>
    <w:rsid w:val="00886A08"/>
    <w:rsid w:val="00886D8B"/>
    <w:rsid w:val="00887D1B"/>
    <w:rsid w:val="00887FA6"/>
    <w:rsid w:val="00893ECB"/>
    <w:rsid w:val="008962EA"/>
    <w:rsid w:val="00896C1B"/>
    <w:rsid w:val="008978BD"/>
    <w:rsid w:val="008A1D04"/>
    <w:rsid w:val="008A2ACD"/>
    <w:rsid w:val="008A4A79"/>
    <w:rsid w:val="008A4CD9"/>
    <w:rsid w:val="008A732F"/>
    <w:rsid w:val="008B0919"/>
    <w:rsid w:val="008B10F2"/>
    <w:rsid w:val="008B1742"/>
    <w:rsid w:val="008B1D76"/>
    <w:rsid w:val="008B22E3"/>
    <w:rsid w:val="008B2380"/>
    <w:rsid w:val="008B2549"/>
    <w:rsid w:val="008B256D"/>
    <w:rsid w:val="008B4569"/>
    <w:rsid w:val="008B53AC"/>
    <w:rsid w:val="008B63B1"/>
    <w:rsid w:val="008B7DFC"/>
    <w:rsid w:val="008B7FA1"/>
    <w:rsid w:val="008C0F42"/>
    <w:rsid w:val="008C1258"/>
    <w:rsid w:val="008C14B3"/>
    <w:rsid w:val="008C4351"/>
    <w:rsid w:val="008C5759"/>
    <w:rsid w:val="008D145C"/>
    <w:rsid w:val="008D149E"/>
    <w:rsid w:val="008D1B42"/>
    <w:rsid w:val="008D1C90"/>
    <w:rsid w:val="008D23E4"/>
    <w:rsid w:val="008D4CFB"/>
    <w:rsid w:val="008D4EBD"/>
    <w:rsid w:val="008D540C"/>
    <w:rsid w:val="008D5C6C"/>
    <w:rsid w:val="008D62D4"/>
    <w:rsid w:val="008D6570"/>
    <w:rsid w:val="008D6A47"/>
    <w:rsid w:val="008E0E62"/>
    <w:rsid w:val="008E1E4D"/>
    <w:rsid w:val="008E228A"/>
    <w:rsid w:val="008E30FE"/>
    <w:rsid w:val="008E311E"/>
    <w:rsid w:val="008E31FF"/>
    <w:rsid w:val="008E3715"/>
    <w:rsid w:val="008E3FA8"/>
    <w:rsid w:val="008E462F"/>
    <w:rsid w:val="008E4BF0"/>
    <w:rsid w:val="008E6EE9"/>
    <w:rsid w:val="008F0FA5"/>
    <w:rsid w:val="008F1C5C"/>
    <w:rsid w:val="008F26DB"/>
    <w:rsid w:val="008F3513"/>
    <w:rsid w:val="008F360B"/>
    <w:rsid w:val="008F51F3"/>
    <w:rsid w:val="008F7513"/>
    <w:rsid w:val="00900666"/>
    <w:rsid w:val="00900CBF"/>
    <w:rsid w:val="0090330F"/>
    <w:rsid w:val="00905FF8"/>
    <w:rsid w:val="00906EE6"/>
    <w:rsid w:val="009070EA"/>
    <w:rsid w:val="009073EF"/>
    <w:rsid w:val="0091101A"/>
    <w:rsid w:val="00911FE8"/>
    <w:rsid w:val="009121EE"/>
    <w:rsid w:val="0091236F"/>
    <w:rsid w:val="00914E3E"/>
    <w:rsid w:val="00916643"/>
    <w:rsid w:val="009168BD"/>
    <w:rsid w:val="00916FFD"/>
    <w:rsid w:val="0092132C"/>
    <w:rsid w:val="00921454"/>
    <w:rsid w:val="009218AF"/>
    <w:rsid w:val="009225C0"/>
    <w:rsid w:val="00923611"/>
    <w:rsid w:val="00923700"/>
    <w:rsid w:val="009245E1"/>
    <w:rsid w:val="00924747"/>
    <w:rsid w:val="00925158"/>
    <w:rsid w:val="009263C7"/>
    <w:rsid w:val="0092764D"/>
    <w:rsid w:val="00931D1B"/>
    <w:rsid w:val="00934499"/>
    <w:rsid w:val="00935A4D"/>
    <w:rsid w:val="00935B21"/>
    <w:rsid w:val="009361A6"/>
    <w:rsid w:val="009364CB"/>
    <w:rsid w:val="0093737A"/>
    <w:rsid w:val="0093753A"/>
    <w:rsid w:val="009379DC"/>
    <w:rsid w:val="009420A3"/>
    <w:rsid w:val="00943970"/>
    <w:rsid w:val="00944FEC"/>
    <w:rsid w:val="009465BC"/>
    <w:rsid w:val="0095010C"/>
    <w:rsid w:val="009504BC"/>
    <w:rsid w:val="009554A7"/>
    <w:rsid w:val="009556C3"/>
    <w:rsid w:val="009556F8"/>
    <w:rsid w:val="009564BF"/>
    <w:rsid w:val="0095673B"/>
    <w:rsid w:val="00956C8D"/>
    <w:rsid w:val="00957A61"/>
    <w:rsid w:val="00960085"/>
    <w:rsid w:val="00960E70"/>
    <w:rsid w:val="0096254B"/>
    <w:rsid w:val="00962592"/>
    <w:rsid w:val="00964A23"/>
    <w:rsid w:val="00964F16"/>
    <w:rsid w:val="0096542F"/>
    <w:rsid w:val="0096647D"/>
    <w:rsid w:val="00966BCB"/>
    <w:rsid w:val="00970B07"/>
    <w:rsid w:val="00970EBC"/>
    <w:rsid w:val="009711A9"/>
    <w:rsid w:val="00971AAF"/>
    <w:rsid w:val="009746DF"/>
    <w:rsid w:val="00976C19"/>
    <w:rsid w:val="00977B9A"/>
    <w:rsid w:val="009806BA"/>
    <w:rsid w:val="009806F2"/>
    <w:rsid w:val="00982AEA"/>
    <w:rsid w:val="00983073"/>
    <w:rsid w:val="00983E2E"/>
    <w:rsid w:val="00985118"/>
    <w:rsid w:val="00985B0C"/>
    <w:rsid w:val="00986959"/>
    <w:rsid w:val="0098738C"/>
    <w:rsid w:val="0099358B"/>
    <w:rsid w:val="009944F1"/>
    <w:rsid w:val="00994BC4"/>
    <w:rsid w:val="00995D39"/>
    <w:rsid w:val="00995D60"/>
    <w:rsid w:val="00996415"/>
    <w:rsid w:val="00996F24"/>
    <w:rsid w:val="00996F82"/>
    <w:rsid w:val="009A012A"/>
    <w:rsid w:val="009A01CB"/>
    <w:rsid w:val="009A0238"/>
    <w:rsid w:val="009A060D"/>
    <w:rsid w:val="009A08D8"/>
    <w:rsid w:val="009A0F7F"/>
    <w:rsid w:val="009A2054"/>
    <w:rsid w:val="009A2AE1"/>
    <w:rsid w:val="009A35DF"/>
    <w:rsid w:val="009A413C"/>
    <w:rsid w:val="009A4FDA"/>
    <w:rsid w:val="009A51FB"/>
    <w:rsid w:val="009A7BAD"/>
    <w:rsid w:val="009A7DEE"/>
    <w:rsid w:val="009A7E70"/>
    <w:rsid w:val="009A7EAF"/>
    <w:rsid w:val="009B0921"/>
    <w:rsid w:val="009B0C5F"/>
    <w:rsid w:val="009B0E53"/>
    <w:rsid w:val="009B1A88"/>
    <w:rsid w:val="009B22E4"/>
    <w:rsid w:val="009B2C11"/>
    <w:rsid w:val="009B56DF"/>
    <w:rsid w:val="009B5BEB"/>
    <w:rsid w:val="009B7362"/>
    <w:rsid w:val="009B7E88"/>
    <w:rsid w:val="009C0D19"/>
    <w:rsid w:val="009C1E37"/>
    <w:rsid w:val="009C1FF3"/>
    <w:rsid w:val="009C23A1"/>
    <w:rsid w:val="009C6649"/>
    <w:rsid w:val="009C66A0"/>
    <w:rsid w:val="009C6FA3"/>
    <w:rsid w:val="009D3029"/>
    <w:rsid w:val="009D3849"/>
    <w:rsid w:val="009D449D"/>
    <w:rsid w:val="009D4941"/>
    <w:rsid w:val="009D4E4A"/>
    <w:rsid w:val="009D550E"/>
    <w:rsid w:val="009D5735"/>
    <w:rsid w:val="009D60A9"/>
    <w:rsid w:val="009D60BC"/>
    <w:rsid w:val="009D6516"/>
    <w:rsid w:val="009D76A5"/>
    <w:rsid w:val="009D7AE7"/>
    <w:rsid w:val="009E1E8F"/>
    <w:rsid w:val="009E3B79"/>
    <w:rsid w:val="009E3C71"/>
    <w:rsid w:val="009E563B"/>
    <w:rsid w:val="009E58E0"/>
    <w:rsid w:val="009E7204"/>
    <w:rsid w:val="009E74AC"/>
    <w:rsid w:val="009E79D5"/>
    <w:rsid w:val="009F0968"/>
    <w:rsid w:val="009F0A0A"/>
    <w:rsid w:val="009F2481"/>
    <w:rsid w:val="009F3559"/>
    <w:rsid w:val="009F35F3"/>
    <w:rsid w:val="009F396C"/>
    <w:rsid w:val="009F6CC8"/>
    <w:rsid w:val="00A041A1"/>
    <w:rsid w:val="00A04204"/>
    <w:rsid w:val="00A0488A"/>
    <w:rsid w:val="00A0746F"/>
    <w:rsid w:val="00A07B40"/>
    <w:rsid w:val="00A10BA3"/>
    <w:rsid w:val="00A10D50"/>
    <w:rsid w:val="00A11792"/>
    <w:rsid w:val="00A11FBC"/>
    <w:rsid w:val="00A139ED"/>
    <w:rsid w:val="00A15346"/>
    <w:rsid w:val="00A157FF"/>
    <w:rsid w:val="00A167A5"/>
    <w:rsid w:val="00A17EAC"/>
    <w:rsid w:val="00A22DC3"/>
    <w:rsid w:val="00A271CC"/>
    <w:rsid w:val="00A27947"/>
    <w:rsid w:val="00A27D62"/>
    <w:rsid w:val="00A31063"/>
    <w:rsid w:val="00A313CE"/>
    <w:rsid w:val="00A3143B"/>
    <w:rsid w:val="00A31C97"/>
    <w:rsid w:val="00A33E26"/>
    <w:rsid w:val="00A35A62"/>
    <w:rsid w:val="00A36788"/>
    <w:rsid w:val="00A3748C"/>
    <w:rsid w:val="00A40154"/>
    <w:rsid w:val="00A43748"/>
    <w:rsid w:val="00A43F5F"/>
    <w:rsid w:val="00A44AFB"/>
    <w:rsid w:val="00A46FA1"/>
    <w:rsid w:val="00A470C6"/>
    <w:rsid w:val="00A478CA"/>
    <w:rsid w:val="00A524A1"/>
    <w:rsid w:val="00A55E6D"/>
    <w:rsid w:val="00A56319"/>
    <w:rsid w:val="00A568CE"/>
    <w:rsid w:val="00A56968"/>
    <w:rsid w:val="00A571EB"/>
    <w:rsid w:val="00A601B5"/>
    <w:rsid w:val="00A6053C"/>
    <w:rsid w:val="00A60E43"/>
    <w:rsid w:val="00A63864"/>
    <w:rsid w:val="00A64424"/>
    <w:rsid w:val="00A64786"/>
    <w:rsid w:val="00A648E9"/>
    <w:rsid w:val="00A66176"/>
    <w:rsid w:val="00A66449"/>
    <w:rsid w:val="00A66E7B"/>
    <w:rsid w:val="00A67554"/>
    <w:rsid w:val="00A6795D"/>
    <w:rsid w:val="00A67B11"/>
    <w:rsid w:val="00A67B7B"/>
    <w:rsid w:val="00A67DF8"/>
    <w:rsid w:val="00A70A22"/>
    <w:rsid w:val="00A720FB"/>
    <w:rsid w:val="00A74B5C"/>
    <w:rsid w:val="00A80A46"/>
    <w:rsid w:val="00A82540"/>
    <w:rsid w:val="00A829CD"/>
    <w:rsid w:val="00A8380E"/>
    <w:rsid w:val="00A847D1"/>
    <w:rsid w:val="00A87E07"/>
    <w:rsid w:val="00A94467"/>
    <w:rsid w:val="00A946EC"/>
    <w:rsid w:val="00A9486D"/>
    <w:rsid w:val="00A975B7"/>
    <w:rsid w:val="00AA0E25"/>
    <w:rsid w:val="00AA1588"/>
    <w:rsid w:val="00AA173A"/>
    <w:rsid w:val="00AA280D"/>
    <w:rsid w:val="00AA2A93"/>
    <w:rsid w:val="00AA53A0"/>
    <w:rsid w:val="00AA60A9"/>
    <w:rsid w:val="00AA648D"/>
    <w:rsid w:val="00AB0212"/>
    <w:rsid w:val="00AB2D6E"/>
    <w:rsid w:val="00AB2E42"/>
    <w:rsid w:val="00AB2F96"/>
    <w:rsid w:val="00AB30F2"/>
    <w:rsid w:val="00AB314A"/>
    <w:rsid w:val="00AB3F0D"/>
    <w:rsid w:val="00AB42F2"/>
    <w:rsid w:val="00AB6D16"/>
    <w:rsid w:val="00AC0095"/>
    <w:rsid w:val="00AC178B"/>
    <w:rsid w:val="00AC3B8C"/>
    <w:rsid w:val="00AC500A"/>
    <w:rsid w:val="00AD007C"/>
    <w:rsid w:val="00AD1DFD"/>
    <w:rsid w:val="00AD29EE"/>
    <w:rsid w:val="00AD3A2D"/>
    <w:rsid w:val="00AD42E7"/>
    <w:rsid w:val="00AD5268"/>
    <w:rsid w:val="00AD5A76"/>
    <w:rsid w:val="00AD5B7D"/>
    <w:rsid w:val="00AD6801"/>
    <w:rsid w:val="00AD7B22"/>
    <w:rsid w:val="00AE05FC"/>
    <w:rsid w:val="00AE31C3"/>
    <w:rsid w:val="00AE3470"/>
    <w:rsid w:val="00AE3559"/>
    <w:rsid w:val="00AE397E"/>
    <w:rsid w:val="00AE447F"/>
    <w:rsid w:val="00AE5422"/>
    <w:rsid w:val="00AE65E2"/>
    <w:rsid w:val="00AE6DB7"/>
    <w:rsid w:val="00AF008E"/>
    <w:rsid w:val="00AF03AC"/>
    <w:rsid w:val="00AF10AF"/>
    <w:rsid w:val="00AF23DB"/>
    <w:rsid w:val="00AF3505"/>
    <w:rsid w:val="00AF3A50"/>
    <w:rsid w:val="00AF4741"/>
    <w:rsid w:val="00AF49E5"/>
    <w:rsid w:val="00AF6307"/>
    <w:rsid w:val="00AF6BF3"/>
    <w:rsid w:val="00AF70AF"/>
    <w:rsid w:val="00AF7171"/>
    <w:rsid w:val="00AF7654"/>
    <w:rsid w:val="00AF7EA5"/>
    <w:rsid w:val="00B019CD"/>
    <w:rsid w:val="00B01E31"/>
    <w:rsid w:val="00B026F4"/>
    <w:rsid w:val="00B044B3"/>
    <w:rsid w:val="00B04EB1"/>
    <w:rsid w:val="00B079B1"/>
    <w:rsid w:val="00B118E9"/>
    <w:rsid w:val="00B12F9B"/>
    <w:rsid w:val="00B13566"/>
    <w:rsid w:val="00B147CF"/>
    <w:rsid w:val="00B20CB2"/>
    <w:rsid w:val="00B23277"/>
    <w:rsid w:val="00B233B1"/>
    <w:rsid w:val="00B23BAA"/>
    <w:rsid w:val="00B2472E"/>
    <w:rsid w:val="00B26263"/>
    <w:rsid w:val="00B27BE8"/>
    <w:rsid w:val="00B300D1"/>
    <w:rsid w:val="00B31597"/>
    <w:rsid w:val="00B31653"/>
    <w:rsid w:val="00B31C5E"/>
    <w:rsid w:val="00B3313A"/>
    <w:rsid w:val="00B34A59"/>
    <w:rsid w:val="00B34D75"/>
    <w:rsid w:val="00B36668"/>
    <w:rsid w:val="00B36E10"/>
    <w:rsid w:val="00B37B9A"/>
    <w:rsid w:val="00B4301F"/>
    <w:rsid w:val="00B43166"/>
    <w:rsid w:val="00B43694"/>
    <w:rsid w:val="00B44D9A"/>
    <w:rsid w:val="00B44F4E"/>
    <w:rsid w:val="00B45706"/>
    <w:rsid w:val="00B47392"/>
    <w:rsid w:val="00B5110A"/>
    <w:rsid w:val="00B512A3"/>
    <w:rsid w:val="00B51970"/>
    <w:rsid w:val="00B53588"/>
    <w:rsid w:val="00B54C6E"/>
    <w:rsid w:val="00B56977"/>
    <w:rsid w:val="00B56ED2"/>
    <w:rsid w:val="00B57226"/>
    <w:rsid w:val="00B63CFA"/>
    <w:rsid w:val="00B644A1"/>
    <w:rsid w:val="00B64BFE"/>
    <w:rsid w:val="00B6618B"/>
    <w:rsid w:val="00B67CBC"/>
    <w:rsid w:val="00B7155C"/>
    <w:rsid w:val="00B715FB"/>
    <w:rsid w:val="00B71D77"/>
    <w:rsid w:val="00B72471"/>
    <w:rsid w:val="00B74CF7"/>
    <w:rsid w:val="00B74D28"/>
    <w:rsid w:val="00B75DA3"/>
    <w:rsid w:val="00B7600A"/>
    <w:rsid w:val="00B7728F"/>
    <w:rsid w:val="00B7748D"/>
    <w:rsid w:val="00B814E0"/>
    <w:rsid w:val="00B82512"/>
    <w:rsid w:val="00B83629"/>
    <w:rsid w:val="00B83B77"/>
    <w:rsid w:val="00B8420D"/>
    <w:rsid w:val="00B9033F"/>
    <w:rsid w:val="00B92230"/>
    <w:rsid w:val="00B923A9"/>
    <w:rsid w:val="00B92C58"/>
    <w:rsid w:val="00B93130"/>
    <w:rsid w:val="00B93B96"/>
    <w:rsid w:val="00B94249"/>
    <w:rsid w:val="00B96438"/>
    <w:rsid w:val="00BA1829"/>
    <w:rsid w:val="00BA22BC"/>
    <w:rsid w:val="00BA2A8B"/>
    <w:rsid w:val="00BA6A03"/>
    <w:rsid w:val="00BA6F1B"/>
    <w:rsid w:val="00BA7F2D"/>
    <w:rsid w:val="00BB034C"/>
    <w:rsid w:val="00BB146F"/>
    <w:rsid w:val="00BB1665"/>
    <w:rsid w:val="00BB2097"/>
    <w:rsid w:val="00BB259C"/>
    <w:rsid w:val="00BB3283"/>
    <w:rsid w:val="00BB357A"/>
    <w:rsid w:val="00BB57F2"/>
    <w:rsid w:val="00BB5A97"/>
    <w:rsid w:val="00BB5D5C"/>
    <w:rsid w:val="00BB71DD"/>
    <w:rsid w:val="00BB77D6"/>
    <w:rsid w:val="00BB7C23"/>
    <w:rsid w:val="00BB7E41"/>
    <w:rsid w:val="00BC0307"/>
    <w:rsid w:val="00BC17BC"/>
    <w:rsid w:val="00BC42A0"/>
    <w:rsid w:val="00BC476D"/>
    <w:rsid w:val="00BC5442"/>
    <w:rsid w:val="00BC5AE2"/>
    <w:rsid w:val="00BC60F2"/>
    <w:rsid w:val="00BC6E71"/>
    <w:rsid w:val="00BC7AB7"/>
    <w:rsid w:val="00BD0D2C"/>
    <w:rsid w:val="00BD1137"/>
    <w:rsid w:val="00BD1F1C"/>
    <w:rsid w:val="00BD48C3"/>
    <w:rsid w:val="00BD4F82"/>
    <w:rsid w:val="00BD72EE"/>
    <w:rsid w:val="00BD77E1"/>
    <w:rsid w:val="00BD7D4F"/>
    <w:rsid w:val="00BE1B2C"/>
    <w:rsid w:val="00BE1F4B"/>
    <w:rsid w:val="00BE2E18"/>
    <w:rsid w:val="00BE3507"/>
    <w:rsid w:val="00BE3F90"/>
    <w:rsid w:val="00BE4949"/>
    <w:rsid w:val="00BE4D61"/>
    <w:rsid w:val="00BE5597"/>
    <w:rsid w:val="00BE68C4"/>
    <w:rsid w:val="00BE691B"/>
    <w:rsid w:val="00BE704D"/>
    <w:rsid w:val="00BE7EED"/>
    <w:rsid w:val="00BF0DA9"/>
    <w:rsid w:val="00BF1A1C"/>
    <w:rsid w:val="00BF1C6B"/>
    <w:rsid w:val="00BF3533"/>
    <w:rsid w:val="00BF3B55"/>
    <w:rsid w:val="00BF498C"/>
    <w:rsid w:val="00BF4A01"/>
    <w:rsid w:val="00BF4D81"/>
    <w:rsid w:val="00BF67A2"/>
    <w:rsid w:val="00BF6C90"/>
    <w:rsid w:val="00C0062F"/>
    <w:rsid w:val="00C0262B"/>
    <w:rsid w:val="00C02C0A"/>
    <w:rsid w:val="00C02E91"/>
    <w:rsid w:val="00C03959"/>
    <w:rsid w:val="00C03FD4"/>
    <w:rsid w:val="00C044B0"/>
    <w:rsid w:val="00C05109"/>
    <w:rsid w:val="00C055CF"/>
    <w:rsid w:val="00C055FF"/>
    <w:rsid w:val="00C06401"/>
    <w:rsid w:val="00C06E3C"/>
    <w:rsid w:val="00C06EB8"/>
    <w:rsid w:val="00C10DEB"/>
    <w:rsid w:val="00C11CD7"/>
    <w:rsid w:val="00C12082"/>
    <w:rsid w:val="00C12BB5"/>
    <w:rsid w:val="00C136C7"/>
    <w:rsid w:val="00C136FE"/>
    <w:rsid w:val="00C20893"/>
    <w:rsid w:val="00C2108B"/>
    <w:rsid w:val="00C235F9"/>
    <w:rsid w:val="00C242AA"/>
    <w:rsid w:val="00C26945"/>
    <w:rsid w:val="00C26D49"/>
    <w:rsid w:val="00C2736B"/>
    <w:rsid w:val="00C33E9F"/>
    <w:rsid w:val="00C3422E"/>
    <w:rsid w:val="00C3438F"/>
    <w:rsid w:val="00C34CCD"/>
    <w:rsid w:val="00C360B9"/>
    <w:rsid w:val="00C36410"/>
    <w:rsid w:val="00C41FB5"/>
    <w:rsid w:val="00C4222F"/>
    <w:rsid w:val="00C42897"/>
    <w:rsid w:val="00C44B1B"/>
    <w:rsid w:val="00C450D7"/>
    <w:rsid w:val="00C47A4E"/>
    <w:rsid w:val="00C50EB7"/>
    <w:rsid w:val="00C51892"/>
    <w:rsid w:val="00C52056"/>
    <w:rsid w:val="00C54649"/>
    <w:rsid w:val="00C5547E"/>
    <w:rsid w:val="00C566F7"/>
    <w:rsid w:val="00C56C5D"/>
    <w:rsid w:val="00C57B7F"/>
    <w:rsid w:val="00C60541"/>
    <w:rsid w:val="00C60669"/>
    <w:rsid w:val="00C62300"/>
    <w:rsid w:val="00C63A5F"/>
    <w:rsid w:val="00C63D04"/>
    <w:rsid w:val="00C65A4F"/>
    <w:rsid w:val="00C66C9B"/>
    <w:rsid w:val="00C706F1"/>
    <w:rsid w:val="00C71174"/>
    <w:rsid w:val="00C71AC2"/>
    <w:rsid w:val="00C72C49"/>
    <w:rsid w:val="00C73EFF"/>
    <w:rsid w:val="00C81A75"/>
    <w:rsid w:val="00C82C68"/>
    <w:rsid w:val="00C850F1"/>
    <w:rsid w:val="00C85FB5"/>
    <w:rsid w:val="00C90760"/>
    <w:rsid w:val="00C912ED"/>
    <w:rsid w:val="00C92C9F"/>
    <w:rsid w:val="00C92F71"/>
    <w:rsid w:val="00C94799"/>
    <w:rsid w:val="00C94B2B"/>
    <w:rsid w:val="00C94EE6"/>
    <w:rsid w:val="00C95ED5"/>
    <w:rsid w:val="00C973C7"/>
    <w:rsid w:val="00CA1C89"/>
    <w:rsid w:val="00CA2E65"/>
    <w:rsid w:val="00CA36A4"/>
    <w:rsid w:val="00CA3714"/>
    <w:rsid w:val="00CA3B46"/>
    <w:rsid w:val="00CA43D8"/>
    <w:rsid w:val="00CA5F54"/>
    <w:rsid w:val="00CB12B5"/>
    <w:rsid w:val="00CB4796"/>
    <w:rsid w:val="00CB59DB"/>
    <w:rsid w:val="00CB5CDA"/>
    <w:rsid w:val="00CC65CE"/>
    <w:rsid w:val="00CC69AE"/>
    <w:rsid w:val="00CC6BCA"/>
    <w:rsid w:val="00CC6DA5"/>
    <w:rsid w:val="00CC7DA6"/>
    <w:rsid w:val="00CD1100"/>
    <w:rsid w:val="00CD1A24"/>
    <w:rsid w:val="00CD3D1A"/>
    <w:rsid w:val="00CD6128"/>
    <w:rsid w:val="00CD6A7A"/>
    <w:rsid w:val="00CD7102"/>
    <w:rsid w:val="00CD795E"/>
    <w:rsid w:val="00CE0410"/>
    <w:rsid w:val="00CE0D0C"/>
    <w:rsid w:val="00CE1344"/>
    <w:rsid w:val="00CE1916"/>
    <w:rsid w:val="00CE288B"/>
    <w:rsid w:val="00CE2FF7"/>
    <w:rsid w:val="00CE39A8"/>
    <w:rsid w:val="00CE3E17"/>
    <w:rsid w:val="00CE3E4A"/>
    <w:rsid w:val="00CE43D4"/>
    <w:rsid w:val="00CE5912"/>
    <w:rsid w:val="00CE611F"/>
    <w:rsid w:val="00CE78A7"/>
    <w:rsid w:val="00CF0C1E"/>
    <w:rsid w:val="00CF2229"/>
    <w:rsid w:val="00CF3CEE"/>
    <w:rsid w:val="00CF4A92"/>
    <w:rsid w:val="00CF50D4"/>
    <w:rsid w:val="00CF5570"/>
    <w:rsid w:val="00CF6093"/>
    <w:rsid w:val="00CF73EC"/>
    <w:rsid w:val="00D0069F"/>
    <w:rsid w:val="00D01D21"/>
    <w:rsid w:val="00D029B0"/>
    <w:rsid w:val="00D034FE"/>
    <w:rsid w:val="00D049A8"/>
    <w:rsid w:val="00D04DE6"/>
    <w:rsid w:val="00D04EEE"/>
    <w:rsid w:val="00D04F3C"/>
    <w:rsid w:val="00D064E0"/>
    <w:rsid w:val="00D06AEB"/>
    <w:rsid w:val="00D06B75"/>
    <w:rsid w:val="00D07492"/>
    <w:rsid w:val="00D10C70"/>
    <w:rsid w:val="00D11EF1"/>
    <w:rsid w:val="00D12B7A"/>
    <w:rsid w:val="00D13560"/>
    <w:rsid w:val="00D138D2"/>
    <w:rsid w:val="00D140AD"/>
    <w:rsid w:val="00D14D23"/>
    <w:rsid w:val="00D151F8"/>
    <w:rsid w:val="00D15547"/>
    <w:rsid w:val="00D16155"/>
    <w:rsid w:val="00D16BCE"/>
    <w:rsid w:val="00D17631"/>
    <w:rsid w:val="00D21E9E"/>
    <w:rsid w:val="00D220AE"/>
    <w:rsid w:val="00D23B35"/>
    <w:rsid w:val="00D2451A"/>
    <w:rsid w:val="00D25A59"/>
    <w:rsid w:val="00D26F5C"/>
    <w:rsid w:val="00D27448"/>
    <w:rsid w:val="00D27FB1"/>
    <w:rsid w:val="00D300BB"/>
    <w:rsid w:val="00D30A73"/>
    <w:rsid w:val="00D3402F"/>
    <w:rsid w:val="00D341D3"/>
    <w:rsid w:val="00D3545D"/>
    <w:rsid w:val="00D362B7"/>
    <w:rsid w:val="00D37E34"/>
    <w:rsid w:val="00D40DAA"/>
    <w:rsid w:val="00D40F6E"/>
    <w:rsid w:val="00D42548"/>
    <w:rsid w:val="00D44DE9"/>
    <w:rsid w:val="00D45149"/>
    <w:rsid w:val="00D459A8"/>
    <w:rsid w:val="00D469E2"/>
    <w:rsid w:val="00D46E30"/>
    <w:rsid w:val="00D470FC"/>
    <w:rsid w:val="00D47663"/>
    <w:rsid w:val="00D501D1"/>
    <w:rsid w:val="00D505D2"/>
    <w:rsid w:val="00D50A0C"/>
    <w:rsid w:val="00D52FE8"/>
    <w:rsid w:val="00D54B3D"/>
    <w:rsid w:val="00D57358"/>
    <w:rsid w:val="00D57BA5"/>
    <w:rsid w:val="00D61BDC"/>
    <w:rsid w:val="00D61EFE"/>
    <w:rsid w:val="00D62CB2"/>
    <w:rsid w:val="00D63615"/>
    <w:rsid w:val="00D63CA8"/>
    <w:rsid w:val="00D651ED"/>
    <w:rsid w:val="00D65289"/>
    <w:rsid w:val="00D66246"/>
    <w:rsid w:val="00D665A3"/>
    <w:rsid w:val="00D7093C"/>
    <w:rsid w:val="00D7118F"/>
    <w:rsid w:val="00D71E0E"/>
    <w:rsid w:val="00D71EC1"/>
    <w:rsid w:val="00D726DF"/>
    <w:rsid w:val="00D7365B"/>
    <w:rsid w:val="00D74F53"/>
    <w:rsid w:val="00D75ADE"/>
    <w:rsid w:val="00D75B29"/>
    <w:rsid w:val="00D7739A"/>
    <w:rsid w:val="00D7772B"/>
    <w:rsid w:val="00D82A13"/>
    <w:rsid w:val="00D8375F"/>
    <w:rsid w:val="00D83924"/>
    <w:rsid w:val="00D83FDA"/>
    <w:rsid w:val="00D85735"/>
    <w:rsid w:val="00D861E3"/>
    <w:rsid w:val="00D90615"/>
    <w:rsid w:val="00D90F11"/>
    <w:rsid w:val="00D91932"/>
    <w:rsid w:val="00D91A26"/>
    <w:rsid w:val="00D92419"/>
    <w:rsid w:val="00D92E9F"/>
    <w:rsid w:val="00D94F66"/>
    <w:rsid w:val="00D95757"/>
    <w:rsid w:val="00D97BB4"/>
    <w:rsid w:val="00DA0A9F"/>
    <w:rsid w:val="00DA5D67"/>
    <w:rsid w:val="00DB00D0"/>
    <w:rsid w:val="00DB1546"/>
    <w:rsid w:val="00DB22A1"/>
    <w:rsid w:val="00DB22DE"/>
    <w:rsid w:val="00DB279A"/>
    <w:rsid w:val="00DB3FA6"/>
    <w:rsid w:val="00DB436A"/>
    <w:rsid w:val="00DB4D35"/>
    <w:rsid w:val="00DB5A71"/>
    <w:rsid w:val="00DC12BA"/>
    <w:rsid w:val="00DC3E3F"/>
    <w:rsid w:val="00DC4EFA"/>
    <w:rsid w:val="00DC5855"/>
    <w:rsid w:val="00DC58DD"/>
    <w:rsid w:val="00DC65B1"/>
    <w:rsid w:val="00DC6A00"/>
    <w:rsid w:val="00DD2833"/>
    <w:rsid w:val="00DD3161"/>
    <w:rsid w:val="00DD327B"/>
    <w:rsid w:val="00DD524E"/>
    <w:rsid w:val="00DD6A40"/>
    <w:rsid w:val="00DD6B1F"/>
    <w:rsid w:val="00DD762A"/>
    <w:rsid w:val="00DE09BA"/>
    <w:rsid w:val="00DE0F9E"/>
    <w:rsid w:val="00DE3234"/>
    <w:rsid w:val="00DE3F6E"/>
    <w:rsid w:val="00DE5E80"/>
    <w:rsid w:val="00DE6113"/>
    <w:rsid w:val="00DE6A32"/>
    <w:rsid w:val="00DE6D5E"/>
    <w:rsid w:val="00DF0F43"/>
    <w:rsid w:val="00DF12D6"/>
    <w:rsid w:val="00DF15F9"/>
    <w:rsid w:val="00DF1D26"/>
    <w:rsid w:val="00DF4309"/>
    <w:rsid w:val="00DF4A05"/>
    <w:rsid w:val="00DF5BD8"/>
    <w:rsid w:val="00DF6192"/>
    <w:rsid w:val="00DF6D6A"/>
    <w:rsid w:val="00DF7511"/>
    <w:rsid w:val="00E011FD"/>
    <w:rsid w:val="00E027DE"/>
    <w:rsid w:val="00E04728"/>
    <w:rsid w:val="00E05B0B"/>
    <w:rsid w:val="00E060E9"/>
    <w:rsid w:val="00E068CE"/>
    <w:rsid w:val="00E12855"/>
    <w:rsid w:val="00E15F0A"/>
    <w:rsid w:val="00E16EF4"/>
    <w:rsid w:val="00E2126B"/>
    <w:rsid w:val="00E21F86"/>
    <w:rsid w:val="00E2210C"/>
    <w:rsid w:val="00E22BCB"/>
    <w:rsid w:val="00E22FF5"/>
    <w:rsid w:val="00E23388"/>
    <w:rsid w:val="00E24539"/>
    <w:rsid w:val="00E24F01"/>
    <w:rsid w:val="00E255FD"/>
    <w:rsid w:val="00E25C4A"/>
    <w:rsid w:val="00E25D31"/>
    <w:rsid w:val="00E25E1F"/>
    <w:rsid w:val="00E265D8"/>
    <w:rsid w:val="00E26647"/>
    <w:rsid w:val="00E3043F"/>
    <w:rsid w:val="00E30A9A"/>
    <w:rsid w:val="00E314A7"/>
    <w:rsid w:val="00E3195B"/>
    <w:rsid w:val="00E336F6"/>
    <w:rsid w:val="00E40906"/>
    <w:rsid w:val="00E4242C"/>
    <w:rsid w:val="00E42F4C"/>
    <w:rsid w:val="00E42F74"/>
    <w:rsid w:val="00E434A6"/>
    <w:rsid w:val="00E43CA4"/>
    <w:rsid w:val="00E44EE3"/>
    <w:rsid w:val="00E44F42"/>
    <w:rsid w:val="00E450D4"/>
    <w:rsid w:val="00E4712F"/>
    <w:rsid w:val="00E50862"/>
    <w:rsid w:val="00E525C5"/>
    <w:rsid w:val="00E536D7"/>
    <w:rsid w:val="00E53EA0"/>
    <w:rsid w:val="00E54BED"/>
    <w:rsid w:val="00E56269"/>
    <w:rsid w:val="00E5626E"/>
    <w:rsid w:val="00E562EA"/>
    <w:rsid w:val="00E6033F"/>
    <w:rsid w:val="00E60A9D"/>
    <w:rsid w:val="00E623F6"/>
    <w:rsid w:val="00E63EEB"/>
    <w:rsid w:val="00E645EA"/>
    <w:rsid w:val="00E64AC4"/>
    <w:rsid w:val="00E66D88"/>
    <w:rsid w:val="00E670D5"/>
    <w:rsid w:val="00E70AF5"/>
    <w:rsid w:val="00E710A2"/>
    <w:rsid w:val="00E719B2"/>
    <w:rsid w:val="00E72568"/>
    <w:rsid w:val="00E72B62"/>
    <w:rsid w:val="00E73761"/>
    <w:rsid w:val="00E768F2"/>
    <w:rsid w:val="00E7794A"/>
    <w:rsid w:val="00E77C95"/>
    <w:rsid w:val="00E77C99"/>
    <w:rsid w:val="00E80CD6"/>
    <w:rsid w:val="00E840F2"/>
    <w:rsid w:val="00E841BF"/>
    <w:rsid w:val="00E85021"/>
    <w:rsid w:val="00E86462"/>
    <w:rsid w:val="00E87004"/>
    <w:rsid w:val="00E91BC3"/>
    <w:rsid w:val="00E938EF"/>
    <w:rsid w:val="00E9521E"/>
    <w:rsid w:val="00EA0BDD"/>
    <w:rsid w:val="00EA170D"/>
    <w:rsid w:val="00EA3AB2"/>
    <w:rsid w:val="00EA41A8"/>
    <w:rsid w:val="00EA55C2"/>
    <w:rsid w:val="00EA5A94"/>
    <w:rsid w:val="00EA5FE1"/>
    <w:rsid w:val="00EB0380"/>
    <w:rsid w:val="00EB2289"/>
    <w:rsid w:val="00EB2719"/>
    <w:rsid w:val="00EB2CEC"/>
    <w:rsid w:val="00EB2D3D"/>
    <w:rsid w:val="00EB3CEB"/>
    <w:rsid w:val="00EB4B3E"/>
    <w:rsid w:val="00EB5134"/>
    <w:rsid w:val="00EB6541"/>
    <w:rsid w:val="00EB6F73"/>
    <w:rsid w:val="00EB74FF"/>
    <w:rsid w:val="00EC07AA"/>
    <w:rsid w:val="00EC25F3"/>
    <w:rsid w:val="00EC34C4"/>
    <w:rsid w:val="00EC42D7"/>
    <w:rsid w:val="00EC4E76"/>
    <w:rsid w:val="00EC531D"/>
    <w:rsid w:val="00EC53CB"/>
    <w:rsid w:val="00EC55EF"/>
    <w:rsid w:val="00EC5F5F"/>
    <w:rsid w:val="00EC7055"/>
    <w:rsid w:val="00EC7B83"/>
    <w:rsid w:val="00ED0613"/>
    <w:rsid w:val="00ED1421"/>
    <w:rsid w:val="00ED5ADD"/>
    <w:rsid w:val="00ED625D"/>
    <w:rsid w:val="00ED646D"/>
    <w:rsid w:val="00EE0553"/>
    <w:rsid w:val="00EE322B"/>
    <w:rsid w:val="00EE34CB"/>
    <w:rsid w:val="00EE3510"/>
    <w:rsid w:val="00EE3C76"/>
    <w:rsid w:val="00EE4966"/>
    <w:rsid w:val="00EE4DEA"/>
    <w:rsid w:val="00EE6DA4"/>
    <w:rsid w:val="00EF4C00"/>
    <w:rsid w:val="00EF594F"/>
    <w:rsid w:val="00EF657A"/>
    <w:rsid w:val="00EF65DF"/>
    <w:rsid w:val="00EF669E"/>
    <w:rsid w:val="00EF7F2D"/>
    <w:rsid w:val="00F00348"/>
    <w:rsid w:val="00F0239D"/>
    <w:rsid w:val="00F0357D"/>
    <w:rsid w:val="00F04807"/>
    <w:rsid w:val="00F058FD"/>
    <w:rsid w:val="00F06045"/>
    <w:rsid w:val="00F0761E"/>
    <w:rsid w:val="00F077FE"/>
    <w:rsid w:val="00F07E3F"/>
    <w:rsid w:val="00F101A2"/>
    <w:rsid w:val="00F103D2"/>
    <w:rsid w:val="00F11471"/>
    <w:rsid w:val="00F115FF"/>
    <w:rsid w:val="00F118FA"/>
    <w:rsid w:val="00F13332"/>
    <w:rsid w:val="00F14142"/>
    <w:rsid w:val="00F14793"/>
    <w:rsid w:val="00F1794F"/>
    <w:rsid w:val="00F20399"/>
    <w:rsid w:val="00F21238"/>
    <w:rsid w:val="00F21409"/>
    <w:rsid w:val="00F21583"/>
    <w:rsid w:val="00F216C4"/>
    <w:rsid w:val="00F21D6A"/>
    <w:rsid w:val="00F221A2"/>
    <w:rsid w:val="00F2266D"/>
    <w:rsid w:val="00F247DE"/>
    <w:rsid w:val="00F2537C"/>
    <w:rsid w:val="00F25DBD"/>
    <w:rsid w:val="00F2631B"/>
    <w:rsid w:val="00F276B6"/>
    <w:rsid w:val="00F27B0B"/>
    <w:rsid w:val="00F27C5E"/>
    <w:rsid w:val="00F27F23"/>
    <w:rsid w:val="00F3025F"/>
    <w:rsid w:val="00F31D24"/>
    <w:rsid w:val="00F3260A"/>
    <w:rsid w:val="00F32AF4"/>
    <w:rsid w:val="00F3365A"/>
    <w:rsid w:val="00F33780"/>
    <w:rsid w:val="00F33CD6"/>
    <w:rsid w:val="00F3458A"/>
    <w:rsid w:val="00F36013"/>
    <w:rsid w:val="00F369CC"/>
    <w:rsid w:val="00F37218"/>
    <w:rsid w:val="00F37CCF"/>
    <w:rsid w:val="00F41EBC"/>
    <w:rsid w:val="00F42456"/>
    <w:rsid w:val="00F43E97"/>
    <w:rsid w:val="00F456C5"/>
    <w:rsid w:val="00F45958"/>
    <w:rsid w:val="00F46824"/>
    <w:rsid w:val="00F46A1F"/>
    <w:rsid w:val="00F50A3D"/>
    <w:rsid w:val="00F50C0B"/>
    <w:rsid w:val="00F52189"/>
    <w:rsid w:val="00F526E3"/>
    <w:rsid w:val="00F53823"/>
    <w:rsid w:val="00F545B1"/>
    <w:rsid w:val="00F5494A"/>
    <w:rsid w:val="00F55F77"/>
    <w:rsid w:val="00F56E59"/>
    <w:rsid w:val="00F57A5E"/>
    <w:rsid w:val="00F57FB4"/>
    <w:rsid w:val="00F603A5"/>
    <w:rsid w:val="00F63B4A"/>
    <w:rsid w:val="00F63E4F"/>
    <w:rsid w:val="00F649EF"/>
    <w:rsid w:val="00F64A9B"/>
    <w:rsid w:val="00F64ABD"/>
    <w:rsid w:val="00F6555D"/>
    <w:rsid w:val="00F65CE8"/>
    <w:rsid w:val="00F67DC3"/>
    <w:rsid w:val="00F720A0"/>
    <w:rsid w:val="00F73D26"/>
    <w:rsid w:val="00F740A3"/>
    <w:rsid w:val="00F80D9B"/>
    <w:rsid w:val="00F834F6"/>
    <w:rsid w:val="00F83701"/>
    <w:rsid w:val="00F83E8A"/>
    <w:rsid w:val="00F84DD4"/>
    <w:rsid w:val="00F86A0B"/>
    <w:rsid w:val="00F86F2D"/>
    <w:rsid w:val="00F87357"/>
    <w:rsid w:val="00F910AB"/>
    <w:rsid w:val="00F91FEE"/>
    <w:rsid w:val="00F9336B"/>
    <w:rsid w:val="00F93D5E"/>
    <w:rsid w:val="00F93DA1"/>
    <w:rsid w:val="00F95326"/>
    <w:rsid w:val="00F95681"/>
    <w:rsid w:val="00F956DE"/>
    <w:rsid w:val="00F96CC0"/>
    <w:rsid w:val="00FA0688"/>
    <w:rsid w:val="00FA0C95"/>
    <w:rsid w:val="00FA1819"/>
    <w:rsid w:val="00FA1B92"/>
    <w:rsid w:val="00FA2598"/>
    <w:rsid w:val="00FA48BF"/>
    <w:rsid w:val="00FA5E55"/>
    <w:rsid w:val="00FA79DE"/>
    <w:rsid w:val="00FA7D69"/>
    <w:rsid w:val="00FB0630"/>
    <w:rsid w:val="00FB14F1"/>
    <w:rsid w:val="00FB19C4"/>
    <w:rsid w:val="00FB3319"/>
    <w:rsid w:val="00FB43AC"/>
    <w:rsid w:val="00FB4C19"/>
    <w:rsid w:val="00FB5089"/>
    <w:rsid w:val="00FB7861"/>
    <w:rsid w:val="00FC0743"/>
    <w:rsid w:val="00FC19A6"/>
    <w:rsid w:val="00FC4A56"/>
    <w:rsid w:val="00FC56D5"/>
    <w:rsid w:val="00FD0247"/>
    <w:rsid w:val="00FD05E0"/>
    <w:rsid w:val="00FD1504"/>
    <w:rsid w:val="00FD1DDE"/>
    <w:rsid w:val="00FD2894"/>
    <w:rsid w:val="00FD2A68"/>
    <w:rsid w:val="00FD34B3"/>
    <w:rsid w:val="00FD565A"/>
    <w:rsid w:val="00FD5A6F"/>
    <w:rsid w:val="00FD5A78"/>
    <w:rsid w:val="00FD6293"/>
    <w:rsid w:val="00FD6626"/>
    <w:rsid w:val="00FE03A8"/>
    <w:rsid w:val="00FE0AF4"/>
    <w:rsid w:val="00FE4152"/>
    <w:rsid w:val="00FE4BED"/>
    <w:rsid w:val="00FE4DDF"/>
    <w:rsid w:val="00FE4FF0"/>
    <w:rsid w:val="00FE6A01"/>
    <w:rsid w:val="00FF0439"/>
    <w:rsid w:val="00FF1083"/>
    <w:rsid w:val="00FF14B8"/>
    <w:rsid w:val="00FF1846"/>
    <w:rsid w:val="00FF2DD8"/>
    <w:rsid w:val="00FF620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0417"/>
    <o:shapelayout v:ext="edit">
      <o:idmap v:ext="edit" data="1"/>
    </o:shapelayout>
  </w:shapeDefaults>
  <w:decimalSymbol w:val=","/>
  <w:listSeparator w:val=";"/>
  <w15:docId w15:val="{B833D04B-7CF9-49BB-BC53-FC8CF5FE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2F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1A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81A75"/>
    <w:pPr>
      <w:tabs>
        <w:tab w:val="center" w:pos="4252"/>
        <w:tab w:val="right" w:pos="8504"/>
      </w:tabs>
    </w:pPr>
    <w:rPr>
      <w:lang w:val="x-none"/>
    </w:rPr>
  </w:style>
  <w:style w:type="paragraph" w:styleId="Mapadeldocumento">
    <w:name w:val="Document Map"/>
    <w:basedOn w:val="Normal"/>
    <w:semiHidden/>
    <w:rsid w:val="004753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475370"/>
    <w:rPr>
      <w:rFonts w:ascii="Tahoma" w:hAnsi="Tahoma" w:cs="Tahoma"/>
      <w:sz w:val="16"/>
      <w:szCs w:val="16"/>
    </w:rPr>
  </w:style>
  <w:style w:type="character" w:customStyle="1" w:styleId="e12388502">
    <w:name w:val="e12388502"/>
    <w:semiHidden/>
    <w:rsid w:val="00F46824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rsid w:val="00F46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ED0613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144401"/>
    <w:rPr>
      <w:strike w:val="0"/>
      <w:dstrike w:val="0"/>
      <w:color w:val="000000"/>
      <w:u w:val="none"/>
      <w:effect w:val="none"/>
    </w:rPr>
  </w:style>
  <w:style w:type="paragraph" w:customStyle="1" w:styleId="s37-6437">
    <w:name w:val="s37-6437"/>
    <w:basedOn w:val="Normal"/>
    <w:rsid w:val="00144401"/>
    <w:pPr>
      <w:ind w:firstLine="624"/>
      <w:jc w:val="both"/>
    </w:pPr>
    <w:rPr>
      <w:lang w:eastAsia="es-AR"/>
    </w:rPr>
  </w:style>
  <w:style w:type="character" w:styleId="Refdecomentario">
    <w:name w:val="annotation reference"/>
    <w:basedOn w:val="Fuentedeprrafopredeter"/>
    <w:semiHidden/>
    <w:unhideWhenUsed/>
    <w:rsid w:val="005B595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B59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B59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59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595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D7E6-82B5-4F93-A82E-72F30402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TASAS DE PIZARRA</vt:lpstr>
    </vt:vector>
  </TitlesOfParts>
  <Company>bcocba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TASAS DE PIZARRA</dc:title>
  <dc:subject/>
  <dc:creator>e27423831</dc:creator>
  <cp:keywords/>
  <cp:lastModifiedBy>Martinez Hernandez, Matias Gabriel</cp:lastModifiedBy>
  <cp:revision>46</cp:revision>
  <cp:lastPrinted>2024-08-22T13:16:00Z</cp:lastPrinted>
  <dcterms:created xsi:type="dcterms:W3CDTF">2025-08-04T12:43:00Z</dcterms:created>
  <dcterms:modified xsi:type="dcterms:W3CDTF">2025-12-09T18:35:00Z</dcterms:modified>
</cp:coreProperties>
</file>